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6A76" w14:textId="77777777" w:rsidR="00531B3C" w:rsidRDefault="00531B3C"/>
    <w:tbl>
      <w:tblPr>
        <w:tblW w:w="8844" w:type="dxa"/>
        <w:tblInd w:w="108" w:type="dxa"/>
        <w:tblLayout w:type="fixed"/>
        <w:tblLook w:val="04A0" w:firstRow="1" w:lastRow="0" w:firstColumn="1" w:lastColumn="0" w:noHBand="0" w:noVBand="1"/>
      </w:tblPr>
      <w:tblGrid>
        <w:gridCol w:w="2438"/>
        <w:gridCol w:w="6406"/>
      </w:tblGrid>
      <w:tr w:rsidR="00531B3C" w14:paraId="7F9504BE" w14:textId="77777777" w:rsidTr="664C60EE">
        <w:tc>
          <w:tcPr>
            <w:tcW w:w="2438" w:type="dxa"/>
            <w:shd w:val="clear" w:color="auto" w:fill="auto"/>
          </w:tcPr>
          <w:p w14:paraId="6D84E11E" w14:textId="77777777" w:rsidR="00531B3C" w:rsidRDefault="00542D7D">
            <w:pPr>
              <w:rPr>
                <w:rStyle w:val="Firstpagetablebold"/>
              </w:rPr>
            </w:pPr>
            <w:r>
              <w:rPr>
                <w:rStyle w:val="Firstpagetablebold"/>
              </w:rPr>
              <w:t>To:</w:t>
            </w:r>
          </w:p>
        </w:tc>
        <w:tc>
          <w:tcPr>
            <w:tcW w:w="6406" w:type="dxa"/>
            <w:shd w:val="clear" w:color="auto" w:fill="auto"/>
          </w:tcPr>
          <w:p w14:paraId="1DBD3B34" w14:textId="77777777" w:rsidR="00531B3C" w:rsidRDefault="00542D7D">
            <w:pPr>
              <w:rPr>
                <w:rStyle w:val="Firstpagetablebold"/>
              </w:rPr>
            </w:pPr>
            <w:r>
              <w:rPr>
                <w:rStyle w:val="Firstpagetablebold"/>
              </w:rPr>
              <w:t>Cabinet</w:t>
            </w:r>
          </w:p>
        </w:tc>
      </w:tr>
      <w:tr w:rsidR="00B170A6" w:rsidRPr="00B170A6" w14:paraId="3F08CD71" w14:textId="77777777" w:rsidTr="664C60EE">
        <w:tc>
          <w:tcPr>
            <w:tcW w:w="2438" w:type="dxa"/>
            <w:shd w:val="clear" w:color="auto" w:fill="auto"/>
          </w:tcPr>
          <w:p w14:paraId="12E3D879" w14:textId="77777777" w:rsidR="00531B3C" w:rsidRPr="00B170A6" w:rsidRDefault="00542D7D">
            <w:pPr>
              <w:rPr>
                <w:rStyle w:val="Firstpagetablebold"/>
                <w:color w:val="auto"/>
              </w:rPr>
            </w:pPr>
            <w:r w:rsidRPr="00B170A6">
              <w:rPr>
                <w:rStyle w:val="Firstpagetablebold"/>
                <w:color w:val="auto"/>
              </w:rPr>
              <w:t>Date:</w:t>
            </w:r>
          </w:p>
        </w:tc>
        <w:tc>
          <w:tcPr>
            <w:tcW w:w="6406" w:type="dxa"/>
            <w:shd w:val="clear" w:color="auto" w:fill="auto"/>
          </w:tcPr>
          <w:p w14:paraId="49F45FB7" w14:textId="1A355623" w:rsidR="00531B3C" w:rsidRPr="00B170A6" w:rsidRDefault="7D82E132" w:rsidP="664C60EE">
            <w:pPr>
              <w:rPr>
                <w:b/>
                <w:bCs/>
                <w:color w:val="auto"/>
              </w:rPr>
            </w:pPr>
            <w:r w:rsidRPr="664C60EE">
              <w:rPr>
                <w:b/>
                <w:bCs/>
                <w:color w:val="auto"/>
              </w:rPr>
              <w:t xml:space="preserve">5th </w:t>
            </w:r>
            <w:r w:rsidR="00644945" w:rsidRPr="664C60EE">
              <w:rPr>
                <w:b/>
                <w:bCs/>
                <w:color w:val="auto"/>
              </w:rPr>
              <w:t xml:space="preserve">February </w:t>
            </w:r>
            <w:r w:rsidR="007E09F3" w:rsidRPr="664C60EE">
              <w:rPr>
                <w:b/>
                <w:bCs/>
                <w:color w:val="auto"/>
              </w:rPr>
              <w:t>2024</w:t>
            </w:r>
          </w:p>
        </w:tc>
      </w:tr>
      <w:tr w:rsidR="00531B3C" w14:paraId="6A9C755A" w14:textId="77777777" w:rsidTr="664C60EE">
        <w:tc>
          <w:tcPr>
            <w:tcW w:w="2438" w:type="dxa"/>
            <w:shd w:val="clear" w:color="auto" w:fill="auto"/>
          </w:tcPr>
          <w:p w14:paraId="4FBE3959" w14:textId="77777777" w:rsidR="00531B3C" w:rsidRDefault="00542D7D">
            <w:pPr>
              <w:rPr>
                <w:rStyle w:val="Firstpagetablebold"/>
              </w:rPr>
            </w:pPr>
            <w:r>
              <w:rPr>
                <w:rStyle w:val="Firstpagetablebold"/>
              </w:rPr>
              <w:t>Report of:</w:t>
            </w:r>
          </w:p>
        </w:tc>
        <w:tc>
          <w:tcPr>
            <w:tcW w:w="6406" w:type="dxa"/>
            <w:shd w:val="clear" w:color="auto" w:fill="auto"/>
          </w:tcPr>
          <w:p w14:paraId="4FAAE83E" w14:textId="138A3A18" w:rsidR="00531B3C" w:rsidRDefault="008D3E4F">
            <w:pPr>
              <w:rPr>
                <w:rStyle w:val="Firstpagetablebold"/>
              </w:rPr>
            </w:pPr>
            <w:r w:rsidRPr="008D3E4F">
              <w:rPr>
                <w:b/>
              </w:rPr>
              <w:t>Director of Communities and Citizens</w:t>
            </w:r>
          </w:p>
        </w:tc>
      </w:tr>
      <w:tr w:rsidR="00531B3C" w14:paraId="585099BF" w14:textId="77777777" w:rsidTr="664C60EE">
        <w:tc>
          <w:tcPr>
            <w:tcW w:w="2438" w:type="dxa"/>
            <w:shd w:val="clear" w:color="auto" w:fill="auto"/>
          </w:tcPr>
          <w:p w14:paraId="0F4EEDF1" w14:textId="77777777" w:rsidR="00531B3C" w:rsidRDefault="00542D7D">
            <w:pPr>
              <w:rPr>
                <w:rStyle w:val="Firstpagetablebold"/>
              </w:rPr>
            </w:pPr>
            <w:r>
              <w:rPr>
                <w:rStyle w:val="Firstpagetablebold"/>
              </w:rPr>
              <w:t xml:space="preserve">Title of Report: </w:t>
            </w:r>
          </w:p>
        </w:tc>
        <w:tc>
          <w:tcPr>
            <w:tcW w:w="6406" w:type="dxa"/>
            <w:shd w:val="clear" w:color="auto" w:fill="auto"/>
          </w:tcPr>
          <w:p w14:paraId="620AEDC5" w14:textId="77777777" w:rsidR="00531B3C" w:rsidRDefault="00B303F0">
            <w:pPr>
              <w:rPr>
                <w:rStyle w:val="Firstpagetablebold"/>
              </w:rPr>
            </w:pPr>
            <w:r>
              <w:rPr>
                <w:rStyle w:val="Firstpagetablebold"/>
              </w:rPr>
              <w:t xml:space="preserve">Equalities Update </w:t>
            </w:r>
          </w:p>
        </w:tc>
      </w:tr>
    </w:tbl>
    <w:p w14:paraId="272725E8" w14:textId="77777777" w:rsidR="00531B3C" w:rsidRDefault="00531B3C"/>
    <w:tbl>
      <w:tblPr>
        <w:tblW w:w="884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
        <w:gridCol w:w="2012"/>
        <w:gridCol w:w="6407"/>
      </w:tblGrid>
      <w:tr w:rsidR="00531B3C" w14:paraId="47303FDD" w14:textId="77777777" w:rsidTr="664C60EE">
        <w:tc>
          <w:tcPr>
            <w:tcW w:w="8845" w:type="dxa"/>
            <w:gridSpan w:val="3"/>
            <w:tcBorders>
              <w:bottom w:val="single" w:sz="8" w:space="0" w:color="000000" w:themeColor="text1"/>
            </w:tcBorders>
          </w:tcPr>
          <w:p w14:paraId="23E5EFE1" w14:textId="77777777" w:rsidR="00531B3C" w:rsidRDefault="00542D7D">
            <w:pPr>
              <w:jc w:val="center"/>
              <w:rPr>
                <w:rStyle w:val="Firstpagetablebold"/>
              </w:rPr>
            </w:pPr>
            <w:r>
              <w:rPr>
                <w:rStyle w:val="Firstpagetablebold"/>
              </w:rPr>
              <w:t>Summary and recommendations</w:t>
            </w:r>
          </w:p>
        </w:tc>
      </w:tr>
      <w:tr w:rsidR="00531B3C" w14:paraId="43F1BCB8" w14:textId="77777777" w:rsidTr="664C60EE">
        <w:tc>
          <w:tcPr>
            <w:tcW w:w="2438" w:type="dxa"/>
            <w:gridSpan w:val="2"/>
            <w:tcBorders>
              <w:top w:val="single" w:sz="8" w:space="0" w:color="000000" w:themeColor="text1"/>
              <w:left w:val="single" w:sz="8" w:space="0" w:color="000000" w:themeColor="text1"/>
              <w:bottom w:val="nil"/>
              <w:right w:val="nil"/>
            </w:tcBorders>
          </w:tcPr>
          <w:p w14:paraId="210ED2CF" w14:textId="77777777" w:rsidR="00531B3C" w:rsidRDefault="00542D7D">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tcPr>
          <w:p w14:paraId="50BA1AA7" w14:textId="2BE7B220" w:rsidR="00A67B3B" w:rsidRDefault="00542D7D" w:rsidP="00A67B3B">
            <w:r>
              <w:t>To</w:t>
            </w:r>
            <w:r w:rsidR="00A52EA4">
              <w:t xml:space="preserve"> </w:t>
            </w:r>
            <w:r w:rsidR="00A67B3B">
              <w:t xml:space="preserve">present and </w:t>
            </w:r>
            <w:r>
              <w:t xml:space="preserve">seek approval for the publication of the annual Workforce Equality Report </w:t>
            </w:r>
            <w:r w:rsidR="00B303F0">
              <w:t>20</w:t>
            </w:r>
            <w:r w:rsidR="00942044">
              <w:t>2</w:t>
            </w:r>
            <w:r w:rsidR="007E09F3">
              <w:t>4</w:t>
            </w:r>
            <w:r w:rsidR="00055077">
              <w:t>,</w:t>
            </w:r>
            <w:r w:rsidR="00A67B3B">
              <w:t xml:space="preserve"> </w:t>
            </w:r>
            <w:r w:rsidR="00A52EA4">
              <w:t xml:space="preserve">the </w:t>
            </w:r>
            <w:r w:rsidR="00055077">
              <w:t>Gender Pay Gap Report,</w:t>
            </w:r>
            <w:r w:rsidR="00A52EA4">
              <w:t xml:space="preserve"> </w:t>
            </w:r>
            <w:r w:rsidR="00B303F0">
              <w:t>Ethnicity Pay Gap Report</w:t>
            </w:r>
            <w:r w:rsidR="00055077">
              <w:t xml:space="preserve"> and Disability Pay Gap Report</w:t>
            </w:r>
            <w:r w:rsidR="00920E55">
              <w:t>.</w:t>
            </w:r>
            <w:r w:rsidR="000443AD">
              <w:t xml:space="preserve">  </w:t>
            </w:r>
          </w:p>
          <w:p w14:paraId="0E9D4F23" w14:textId="7740FA4C" w:rsidR="00531B3C" w:rsidRDefault="000443AD" w:rsidP="00D255BB">
            <w:r w:rsidRPr="00055077">
              <w:t>T</w:t>
            </w:r>
            <w:r w:rsidR="00A67B3B" w:rsidRPr="00055077">
              <w:t xml:space="preserve">o share current progress </w:t>
            </w:r>
            <w:r w:rsidRPr="00055077">
              <w:t xml:space="preserve">on the </w:t>
            </w:r>
            <w:r w:rsidR="00055077" w:rsidRPr="00055077">
              <w:t>Workforce Equalities Report and Action Plan</w:t>
            </w:r>
            <w:r w:rsidR="0010344A">
              <w:t>.</w:t>
            </w:r>
          </w:p>
        </w:tc>
      </w:tr>
      <w:tr w:rsidR="00531B3C" w14:paraId="71F11D39" w14:textId="77777777" w:rsidTr="664C60EE">
        <w:tc>
          <w:tcPr>
            <w:tcW w:w="2438" w:type="dxa"/>
            <w:gridSpan w:val="2"/>
            <w:tcBorders>
              <w:top w:val="nil"/>
              <w:left w:val="single" w:sz="8" w:space="0" w:color="000000" w:themeColor="text1"/>
              <w:bottom w:val="nil"/>
              <w:right w:val="nil"/>
            </w:tcBorders>
          </w:tcPr>
          <w:p w14:paraId="2BE1B1DE" w14:textId="77777777" w:rsidR="00531B3C" w:rsidRDefault="00542D7D">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tcPr>
          <w:p w14:paraId="0C714F05" w14:textId="08C17769" w:rsidR="00531B3C" w:rsidRDefault="00920E55" w:rsidP="008E5206">
            <w:r>
              <w:t>No</w:t>
            </w:r>
          </w:p>
        </w:tc>
      </w:tr>
      <w:tr w:rsidR="00531B3C" w14:paraId="7A8F8A66" w14:textId="77777777" w:rsidTr="664C60EE">
        <w:tc>
          <w:tcPr>
            <w:tcW w:w="2438" w:type="dxa"/>
            <w:gridSpan w:val="2"/>
            <w:tcBorders>
              <w:top w:val="nil"/>
              <w:left w:val="single" w:sz="8" w:space="0" w:color="000000" w:themeColor="text1"/>
              <w:bottom w:val="nil"/>
              <w:right w:val="nil"/>
            </w:tcBorders>
          </w:tcPr>
          <w:p w14:paraId="49FB0C91" w14:textId="77777777" w:rsidR="00531B3C" w:rsidRDefault="00542D7D">
            <w:pPr>
              <w:rPr>
                <w:rStyle w:val="Firstpagetablebold"/>
              </w:rPr>
            </w:pPr>
            <w:r>
              <w:rPr>
                <w:rStyle w:val="Firstpagetablebold"/>
              </w:rPr>
              <w:t>Cabinet Member:</w:t>
            </w:r>
          </w:p>
        </w:tc>
        <w:tc>
          <w:tcPr>
            <w:tcW w:w="6407" w:type="dxa"/>
            <w:tcBorders>
              <w:top w:val="nil"/>
              <w:left w:val="nil"/>
              <w:bottom w:val="nil"/>
              <w:right w:val="single" w:sz="8" w:space="0" w:color="000000" w:themeColor="text1"/>
            </w:tcBorders>
          </w:tcPr>
          <w:p w14:paraId="3F1DF011" w14:textId="4FF30E0F" w:rsidR="00531B3C" w:rsidRDefault="21F21BC7" w:rsidP="664C60EE">
            <w:r w:rsidRPr="005F311C">
              <w:rPr>
                <w:rFonts w:eastAsia="Arial" w:cs="Arial"/>
                <w:color w:val="000000" w:themeColor="text1"/>
              </w:rPr>
              <w:t>Councillor Nigel Chapman</w:t>
            </w:r>
            <w:r w:rsidR="007D2D97">
              <w:rPr>
                <w:rFonts w:eastAsia="Arial" w:cs="Arial"/>
                <w:color w:val="000000" w:themeColor="text1"/>
              </w:rPr>
              <w:t>,</w:t>
            </w:r>
            <w:r w:rsidRPr="005F311C">
              <w:rPr>
                <w:rFonts w:eastAsia="Arial" w:cs="Arial"/>
                <w:color w:val="000000" w:themeColor="text1"/>
              </w:rPr>
              <w:t xml:space="preserve"> Cabinet Member for </w:t>
            </w:r>
            <w:r w:rsidR="00EB49A3">
              <w:rPr>
                <w:rFonts w:eastAsia="Arial" w:cs="Arial"/>
                <w:color w:val="000000" w:themeColor="text1"/>
              </w:rPr>
              <w:t xml:space="preserve">Citizen </w:t>
            </w:r>
            <w:r w:rsidRPr="005F311C">
              <w:rPr>
                <w:rFonts w:eastAsia="Arial" w:cs="Arial"/>
                <w:color w:val="000000" w:themeColor="text1"/>
              </w:rPr>
              <w:t>Focused Services and Council Companies</w:t>
            </w:r>
            <w:r w:rsidRPr="664C60EE">
              <w:rPr>
                <w:rFonts w:eastAsia="Arial" w:cs="Arial"/>
              </w:rPr>
              <w:t xml:space="preserve"> </w:t>
            </w:r>
          </w:p>
        </w:tc>
      </w:tr>
      <w:tr w:rsidR="00531B3C" w14:paraId="3E489A32" w14:textId="77777777" w:rsidTr="664C60EE">
        <w:tc>
          <w:tcPr>
            <w:tcW w:w="2438" w:type="dxa"/>
            <w:gridSpan w:val="2"/>
            <w:tcBorders>
              <w:top w:val="nil"/>
              <w:left w:val="single" w:sz="8" w:space="0" w:color="000000" w:themeColor="text1"/>
              <w:bottom w:val="nil"/>
              <w:right w:val="nil"/>
            </w:tcBorders>
          </w:tcPr>
          <w:p w14:paraId="6FBD5D2B" w14:textId="77777777" w:rsidR="00531B3C" w:rsidRDefault="00542D7D">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4EAC2D09" w14:textId="77777777" w:rsidR="00531B3C" w:rsidRDefault="001600B8">
            <w:r>
              <w:t>All</w:t>
            </w:r>
          </w:p>
        </w:tc>
      </w:tr>
      <w:tr w:rsidR="00531B3C" w14:paraId="722CBE44" w14:textId="77777777" w:rsidTr="664C60EE">
        <w:tc>
          <w:tcPr>
            <w:tcW w:w="2438" w:type="dxa"/>
            <w:gridSpan w:val="2"/>
            <w:tcBorders>
              <w:top w:val="nil"/>
              <w:left w:val="single" w:sz="8" w:space="0" w:color="000000" w:themeColor="text1"/>
              <w:bottom w:val="nil"/>
              <w:right w:val="nil"/>
            </w:tcBorders>
          </w:tcPr>
          <w:p w14:paraId="02504789" w14:textId="77777777" w:rsidR="00531B3C" w:rsidRDefault="00542D7D">
            <w:pPr>
              <w:rPr>
                <w:rStyle w:val="Firstpagetablebold"/>
              </w:rPr>
            </w:pPr>
            <w:r>
              <w:rPr>
                <w:rStyle w:val="Firstpagetablebold"/>
              </w:rPr>
              <w:t>Policy Framework:</w:t>
            </w:r>
          </w:p>
        </w:tc>
        <w:tc>
          <w:tcPr>
            <w:tcW w:w="6407" w:type="dxa"/>
            <w:tcBorders>
              <w:top w:val="nil"/>
              <w:left w:val="nil"/>
              <w:bottom w:val="nil"/>
              <w:right w:val="single" w:sz="8" w:space="0" w:color="000000" w:themeColor="text1"/>
            </w:tcBorders>
          </w:tcPr>
          <w:p w14:paraId="5CD4FE4D" w14:textId="45DE26AD" w:rsidR="00531B3C" w:rsidRDefault="007E09F3">
            <w:r>
              <w:rPr>
                <w:rFonts w:cs="Arial"/>
                <w:color w:val="auto"/>
              </w:rPr>
              <w:t xml:space="preserve">Corporate plan </w:t>
            </w:r>
            <w:r w:rsidR="005B1245">
              <w:rPr>
                <w:rFonts w:cs="Arial"/>
                <w:color w:val="auto"/>
              </w:rPr>
              <w:t>2024 - 2028</w:t>
            </w:r>
          </w:p>
        </w:tc>
      </w:tr>
      <w:tr w:rsidR="00531B3C" w14:paraId="52FDD5C9" w14:textId="77777777" w:rsidTr="664C60EE">
        <w:trPr>
          <w:trHeight w:val="413"/>
        </w:trPr>
        <w:tc>
          <w:tcPr>
            <w:tcW w:w="8845" w:type="dxa"/>
            <w:gridSpan w:val="3"/>
            <w:tcBorders>
              <w:bottom w:val="single" w:sz="8" w:space="0" w:color="000000" w:themeColor="text1"/>
            </w:tcBorders>
          </w:tcPr>
          <w:p w14:paraId="398C35EF" w14:textId="77777777" w:rsidR="00531B3C" w:rsidRDefault="001600B8">
            <w:r>
              <w:rPr>
                <w:rStyle w:val="Firstpagetablebold"/>
              </w:rPr>
              <w:t>Recommendations</w:t>
            </w:r>
            <w:r w:rsidR="00542D7D">
              <w:rPr>
                <w:rStyle w:val="Firstpagetablebold"/>
              </w:rPr>
              <w:t>:</w:t>
            </w:r>
            <w:r w:rsidR="00F4116E">
              <w:rPr>
                <w:rStyle w:val="Firstpagetablebold"/>
              </w:rPr>
              <w:t xml:space="preserve"> </w:t>
            </w:r>
            <w:r w:rsidR="00542D7D" w:rsidRPr="001600B8">
              <w:rPr>
                <w:rStyle w:val="Firstpagetablebold"/>
                <w:b w:val="0"/>
              </w:rPr>
              <w:t>That Cabinet resolves to:</w:t>
            </w:r>
          </w:p>
        </w:tc>
      </w:tr>
      <w:tr w:rsidR="00531B3C" w14:paraId="47522ACA" w14:textId="77777777" w:rsidTr="664C60EE">
        <w:trPr>
          <w:trHeight w:val="283"/>
        </w:trPr>
        <w:tc>
          <w:tcPr>
            <w:tcW w:w="426" w:type="dxa"/>
            <w:tcBorders>
              <w:top w:val="single" w:sz="8" w:space="0" w:color="000000" w:themeColor="text1"/>
              <w:left w:val="single" w:sz="8" w:space="0" w:color="000000" w:themeColor="text1"/>
              <w:bottom w:val="nil"/>
              <w:right w:val="nil"/>
            </w:tcBorders>
          </w:tcPr>
          <w:p w14:paraId="6EFF5031" w14:textId="77777777" w:rsidR="00531B3C" w:rsidRDefault="00531B3C"/>
        </w:tc>
        <w:tc>
          <w:tcPr>
            <w:tcW w:w="8419" w:type="dxa"/>
            <w:gridSpan w:val="2"/>
            <w:tcBorders>
              <w:top w:val="single" w:sz="8" w:space="0" w:color="000000" w:themeColor="text1"/>
              <w:left w:val="nil"/>
              <w:bottom w:val="nil"/>
              <w:right w:val="single" w:sz="8" w:space="0" w:color="000000" w:themeColor="text1"/>
            </w:tcBorders>
            <w:shd w:val="clear" w:color="auto" w:fill="auto"/>
          </w:tcPr>
          <w:p w14:paraId="53B44F47" w14:textId="604B2FF0" w:rsidR="00531B3C" w:rsidRDefault="007E6B74" w:rsidP="003C4084">
            <w:pPr>
              <w:pStyle w:val="ListParagraph"/>
              <w:numPr>
                <w:ilvl w:val="0"/>
                <w:numId w:val="3"/>
              </w:numPr>
            </w:pPr>
            <w:r w:rsidRPr="001600B8">
              <w:rPr>
                <w:rStyle w:val="Firstpagetablebold"/>
              </w:rPr>
              <w:t>Approve</w:t>
            </w:r>
            <w:r>
              <w:rPr>
                <w:rStyle w:val="Firstpagetablebold"/>
                <w:b w:val="0"/>
              </w:rPr>
              <w:t xml:space="preserve"> </w:t>
            </w:r>
            <w:r w:rsidR="000839A2">
              <w:rPr>
                <w:rStyle w:val="Firstpagetablebold"/>
                <w:b w:val="0"/>
              </w:rPr>
              <w:t>the contents of</w:t>
            </w:r>
            <w:r w:rsidR="00542D7D">
              <w:rPr>
                <w:rStyle w:val="Firstpagetablebold"/>
                <w:b w:val="0"/>
              </w:rPr>
              <w:t xml:space="preserve"> the Workforce Equality Report </w:t>
            </w:r>
            <w:r w:rsidR="000839A2" w:rsidRPr="000839A2">
              <w:rPr>
                <w:rStyle w:val="Firstpagetablebold"/>
                <w:b w:val="0"/>
              </w:rPr>
              <w:t>202</w:t>
            </w:r>
            <w:r w:rsidR="007E09F3">
              <w:rPr>
                <w:rStyle w:val="Firstpagetablebold"/>
                <w:b w:val="0"/>
              </w:rPr>
              <w:t>4</w:t>
            </w:r>
            <w:r w:rsidR="001600B8">
              <w:rPr>
                <w:rStyle w:val="Firstpagetablebold"/>
                <w:b w:val="0"/>
              </w:rPr>
              <w:t>;</w:t>
            </w:r>
          </w:p>
        </w:tc>
      </w:tr>
      <w:tr w:rsidR="00531B3C" w14:paraId="1D0C4EF3" w14:textId="77777777" w:rsidTr="664C60EE">
        <w:trPr>
          <w:trHeight w:val="283"/>
        </w:trPr>
        <w:tc>
          <w:tcPr>
            <w:tcW w:w="426" w:type="dxa"/>
            <w:tcBorders>
              <w:top w:val="nil"/>
              <w:left w:val="single" w:sz="8" w:space="0" w:color="000000" w:themeColor="text1"/>
              <w:bottom w:val="nil"/>
              <w:right w:val="nil"/>
            </w:tcBorders>
          </w:tcPr>
          <w:p w14:paraId="3640529D" w14:textId="77777777" w:rsidR="00531B3C" w:rsidRDefault="00531B3C"/>
        </w:tc>
        <w:tc>
          <w:tcPr>
            <w:tcW w:w="8419" w:type="dxa"/>
            <w:gridSpan w:val="2"/>
            <w:tcBorders>
              <w:top w:val="nil"/>
              <w:left w:val="nil"/>
              <w:bottom w:val="nil"/>
              <w:right w:val="single" w:sz="8" w:space="0" w:color="000000" w:themeColor="text1"/>
            </w:tcBorders>
            <w:shd w:val="clear" w:color="auto" w:fill="auto"/>
          </w:tcPr>
          <w:p w14:paraId="5CAE1299" w14:textId="60DAAE86" w:rsidR="00531B3C" w:rsidRDefault="00542D7D" w:rsidP="003D2621">
            <w:pPr>
              <w:pStyle w:val="ListParagraph"/>
              <w:numPr>
                <w:ilvl w:val="0"/>
                <w:numId w:val="3"/>
              </w:numPr>
            </w:pPr>
            <w:r w:rsidRPr="001600B8">
              <w:rPr>
                <w:rStyle w:val="Firstpagetablebold"/>
              </w:rPr>
              <w:t>Delegate</w:t>
            </w:r>
            <w:r>
              <w:rPr>
                <w:rStyle w:val="Firstpagetablebold"/>
                <w:b w:val="0"/>
              </w:rPr>
              <w:t xml:space="preserve"> authority to the Head of </w:t>
            </w:r>
            <w:r w:rsidR="007D2D97">
              <w:rPr>
                <w:rStyle w:val="Firstpagetablebold"/>
                <w:b w:val="0"/>
              </w:rPr>
              <w:t>People</w:t>
            </w:r>
            <w:r>
              <w:rPr>
                <w:rStyle w:val="Firstpagetablebold"/>
                <w:b w:val="0"/>
              </w:rPr>
              <w:t xml:space="preserve"> to publish the Workforce Equality Report and to make any changes as may be required before publication</w:t>
            </w:r>
            <w:r w:rsidR="00155CF7">
              <w:rPr>
                <w:rStyle w:val="Firstpagetablebold"/>
                <w:b w:val="0"/>
              </w:rPr>
              <w:t xml:space="preserve"> following Cabinet discussion</w:t>
            </w:r>
            <w:r>
              <w:rPr>
                <w:rStyle w:val="Firstpagetablebold"/>
                <w:b w:val="0"/>
              </w:rPr>
              <w:t>;</w:t>
            </w:r>
          </w:p>
        </w:tc>
      </w:tr>
      <w:tr w:rsidR="000839A2" w14:paraId="74E978B1" w14:textId="77777777" w:rsidTr="664C60EE">
        <w:trPr>
          <w:trHeight w:val="283"/>
        </w:trPr>
        <w:tc>
          <w:tcPr>
            <w:tcW w:w="426" w:type="dxa"/>
            <w:tcBorders>
              <w:top w:val="nil"/>
              <w:left w:val="single" w:sz="8" w:space="0" w:color="000000" w:themeColor="text1"/>
              <w:bottom w:val="nil"/>
              <w:right w:val="nil"/>
            </w:tcBorders>
          </w:tcPr>
          <w:p w14:paraId="7C3D922C" w14:textId="77777777" w:rsidR="000839A2" w:rsidRDefault="000839A2" w:rsidP="000839A2"/>
        </w:tc>
        <w:tc>
          <w:tcPr>
            <w:tcW w:w="8419" w:type="dxa"/>
            <w:gridSpan w:val="2"/>
            <w:tcBorders>
              <w:top w:val="nil"/>
              <w:left w:val="nil"/>
              <w:bottom w:val="nil"/>
              <w:right w:val="single" w:sz="8" w:space="0" w:color="000000" w:themeColor="text1"/>
            </w:tcBorders>
            <w:shd w:val="clear" w:color="auto" w:fill="auto"/>
          </w:tcPr>
          <w:p w14:paraId="4634DC05" w14:textId="6015D114" w:rsidR="00D822DD" w:rsidRDefault="007E6B74" w:rsidP="00805313">
            <w:pPr>
              <w:pStyle w:val="ListParagraph"/>
              <w:numPr>
                <w:ilvl w:val="0"/>
                <w:numId w:val="3"/>
              </w:numPr>
            </w:pPr>
            <w:r w:rsidRPr="001600B8">
              <w:rPr>
                <w:rStyle w:val="Firstpagetablebold"/>
              </w:rPr>
              <w:t xml:space="preserve">Approve </w:t>
            </w:r>
            <w:r w:rsidR="000839A2" w:rsidRPr="00D822DD">
              <w:rPr>
                <w:rStyle w:val="Firstpagetablebold"/>
                <w:b w:val="0"/>
              </w:rPr>
              <w:t>the</w:t>
            </w:r>
            <w:r w:rsidR="00942044">
              <w:rPr>
                <w:rStyle w:val="Firstpagetablebold"/>
                <w:b w:val="0"/>
              </w:rPr>
              <w:t xml:space="preserve"> contents of the Gender Pay Gap, </w:t>
            </w:r>
            <w:r w:rsidR="000443AD">
              <w:rPr>
                <w:rStyle w:val="Firstpagetablebold"/>
                <w:b w:val="0"/>
              </w:rPr>
              <w:t>Ethnicity Pay Gap</w:t>
            </w:r>
            <w:r w:rsidR="00942044">
              <w:rPr>
                <w:rStyle w:val="Firstpagetablebold"/>
                <w:b w:val="0"/>
              </w:rPr>
              <w:t xml:space="preserve"> and Disability Pay Gap</w:t>
            </w:r>
            <w:r w:rsidR="000443AD">
              <w:rPr>
                <w:rStyle w:val="Firstpagetablebold"/>
                <w:b w:val="0"/>
              </w:rPr>
              <w:t xml:space="preserve"> </w:t>
            </w:r>
            <w:r w:rsidRPr="00D822DD">
              <w:rPr>
                <w:rStyle w:val="Firstpagetablebold"/>
                <w:b w:val="0"/>
              </w:rPr>
              <w:t>report</w:t>
            </w:r>
            <w:r>
              <w:rPr>
                <w:rStyle w:val="Firstpagetablebold"/>
                <w:b w:val="0"/>
              </w:rPr>
              <w:t xml:space="preserve">s </w:t>
            </w:r>
            <w:r w:rsidR="00346EA7">
              <w:rPr>
                <w:rStyle w:val="Firstpagetablebold"/>
                <w:b w:val="0"/>
              </w:rPr>
              <w:t>for this year</w:t>
            </w:r>
            <w:r w:rsidR="001600B8">
              <w:rPr>
                <w:rStyle w:val="Firstpagetablebold"/>
                <w:b w:val="0"/>
              </w:rPr>
              <w:t>; and</w:t>
            </w:r>
          </w:p>
        </w:tc>
      </w:tr>
      <w:tr w:rsidR="000839A2" w14:paraId="7D1C924C" w14:textId="77777777" w:rsidTr="664C60EE">
        <w:trPr>
          <w:trHeight w:val="74"/>
        </w:trPr>
        <w:tc>
          <w:tcPr>
            <w:tcW w:w="426" w:type="dxa"/>
            <w:tcBorders>
              <w:top w:val="nil"/>
              <w:left w:val="single" w:sz="8" w:space="0" w:color="000000" w:themeColor="text1"/>
              <w:bottom w:val="single" w:sz="8" w:space="0" w:color="000000" w:themeColor="text1"/>
              <w:right w:val="nil"/>
            </w:tcBorders>
          </w:tcPr>
          <w:p w14:paraId="4455E3E9" w14:textId="77777777" w:rsidR="000839A2" w:rsidRDefault="000839A2" w:rsidP="000839A2"/>
        </w:tc>
        <w:tc>
          <w:tcPr>
            <w:tcW w:w="8419" w:type="dxa"/>
            <w:gridSpan w:val="2"/>
            <w:tcBorders>
              <w:top w:val="nil"/>
              <w:left w:val="nil"/>
              <w:bottom w:val="single" w:sz="8" w:space="0" w:color="000000" w:themeColor="text1"/>
              <w:right w:val="single" w:sz="8" w:space="0" w:color="000000" w:themeColor="text1"/>
            </w:tcBorders>
            <w:shd w:val="clear" w:color="auto" w:fill="auto"/>
          </w:tcPr>
          <w:p w14:paraId="2E152AED" w14:textId="04B4A34D" w:rsidR="000839A2" w:rsidRDefault="00805313" w:rsidP="00805313">
            <w:pPr>
              <w:pStyle w:val="ListParagraph"/>
              <w:numPr>
                <w:ilvl w:val="0"/>
                <w:numId w:val="3"/>
              </w:numPr>
            </w:pPr>
            <w:r w:rsidRPr="00805313">
              <w:rPr>
                <w:b/>
              </w:rPr>
              <w:t>Delegate</w:t>
            </w:r>
            <w:r w:rsidRPr="00EC1DAB">
              <w:t xml:space="preserve"> authority to the Head of </w:t>
            </w:r>
            <w:r>
              <w:t>People</w:t>
            </w:r>
            <w:r w:rsidRPr="00EC1DAB">
              <w:t xml:space="preserve"> to publish the Gen</w:t>
            </w:r>
            <w:r>
              <w:t xml:space="preserve">der </w:t>
            </w:r>
            <w:r w:rsidRPr="00490DB3">
              <w:t xml:space="preserve">Pay Gap table at </w:t>
            </w:r>
            <w:r w:rsidRPr="00805313">
              <w:rPr>
                <w:color w:val="auto"/>
              </w:rPr>
              <w:t>paragraph 14 before 30 March 2025, the Ethnicity Pay Gap table at paragraph 23 and the Disability Pay Gap table at paragraph 29 on the Council website.</w:t>
            </w:r>
          </w:p>
        </w:tc>
      </w:tr>
    </w:tbl>
    <w:p w14:paraId="4C256365" w14:textId="77777777" w:rsidR="00531B3C" w:rsidRDefault="00531B3C"/>
    <w:p w14:paraId="51630836" w14:textId="77777777" w:rsidR="00FD48DA" w:rsidRDefault="00FD48DA"/>
    <w:p w14:paraId="4906027C" w14:textId="77777777" w:rsidR="00805313" w:rsidRDefault="00805313"/>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406"/>
      </w:tblGrid>
      <w:tr w:rsidR="00531B3C" w14:paraId="08B3547B" w14:textId="77777777">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5F3ED662" w14:textId="77777777" w:rsidR="00531B3C" w:rsidRDefault="00542D7D" w:rsidP="00FD48DA">
            <w:pPr>
              <w:jc w:val="center"/>
            </w:pPr>
            <w:r>
              <w:rPr>
                <w:rStyle w:val="Firstpagetablebold"/>
              </w:rPr>
              <w:lastRenderedPageBreak/>
              <w:t>Appendices</w:t>
            </w:r>
          </w:p>
        </w:tc>
      </w:tr>
      <w:tr w:rsidR="00531B3C" w14:paraId="7D7F6C16" w14:textId="77777777">
        <w:tc>
          <w:tcPr>
            <w:tcW w:w="2438" w:type="dxa"/>
            <w:tcBorders>
              <w:top w:val="single" w:sz="8" w:space="0" w:color="000000"/>
              <w:left w:val="single" w:sz="8" w:space="0" w:color="000000"/>
              <w:bottom w:val="nil"/>
              <w:right w:val="nil"/>
            </w:tcBorders>
            <w:shd w:val="clear" w:color="auto" w:fill="auto"/>
          </w:tcPr>
          <w:p w14:paraId="62BCB538" w14:textId="77777777" w:rsidR="00531B3C" w:rsidRPr="00733BAB" w:rsidRDefault="00542D7D">
            <w:r w:rsidRPr="00733BAB">
              <w:t>Appendix 1</w:t>
            </w:r>
          </w:p>
        </w:tc>
        <w:tc>
          <w:tcPr>
            <w:tcW w:w="6406" w:type="dxa"/>
            <w:tcBorders>
              <w:top w:val="single" w:sz="8" w:space="0" w:color="000000"/>
              <w:left w:val="nil"/>
              <w:bottom w:val="nil"/>
              <w:right w:val="single" w:sz="8" w:space="0" w:color="000000"/>
            </w:tcBorders>
          </w:tcPr>
          <w:p w14:paraId="7C810A92" w14:textId="25C27B69" w:rsidR="00531B3C" w:rsidRPr="00733BAB" w:rsidRDefault="00542D7D" w:rsidP="003C4084">
            <w:r w:rsidRPr="00733BAB">
              <w:t>Workforce Equality Report</w:t>
            </w:r>
            <w:r w:rsidR="00FD48DA" w:rsidRPr="00733BAB">
              <w:t xml:space="preserve"> (20</w:t>
            </w:r>
            <w:r w:rsidR="00942044" w:rsidRPr="00733BAB">
              <w:t>2</w:t>
            </w:r>
            <w:r w:rsidR="007E09F3">
              <w:t>4</w:t>
            </w:r>
            <w:r w:rsidR="00FD48DA" w:rsidRPr="00733BAB">
              <w:t>)</w:t>
            </w:r>
          </w:p>
        </w:tc>
      </w:tr>
      <w:tr w:rsidR="00531B3C" w14:paraId="5DC020CF" w14:textId="77777777">
        <w:tc>
          <w:tcPr>
            <w:tcW w:w="2438" w:type="dxa"/>
            <w:tcBorders>
              <w:top w:val="nil"/>
              <w:left w:val="single" w:sz="8" w:space="0" w:color="000000"/>
              <w:bottom w:val="nil"/>
              <w:right w:val="nil"/>
            </w:tcBorders>
            <w:shd w:val="clear" w:color="auto" w:fill="auto"/>
          </w:tcPr>
          <w:p w14:paraId="1C627B4F" w14:textId="77777777" w:rsidR="00531B3C" w:rsidRPr="00984E85" w:rsidRDefault="00542D7D">
            <w:r w:rsidRPr="00984E85">
              <w:t>Appendix 2</w:t>
            </w:r>
          </w:p>
        </w:tc>
        <w:tc>
          <w:tcPr>
            <w:tcW w:w="6406" w:type="dxa"/>
            <w:tcBorders>
              <w:top w:val="nil"/>
              <w:left w:val="nil"/>
              <w:bottom w:val="nil"/>
              <w:right w:val="single" w:sz="8" w:space="0" w:color="000000"/>
            </w:tcBorders>
          </w:tcPr>
          <w:p w14:paraId="09214E29" w14:textId="66BEF987" w:rsidR="00531B3C" w:rsidRPr="00984E85" w:rsidRDefault="000608F4" w:rsidP="000608F4">
            <w:r>
              <w:t xml:space="preserve">Gender Pay Gap and </w:t>
            </w:r>
            <w:r w:rsidR="007779F0" w:rsidRPr="00984E85">
              <w:t xml:space="preserve">Distribution of </w:t>
            </w:r>
            <w:r w:rsidR="007E6B74" w:rsidRPr="00984E85">
              <w:t xml:space="preserve">Council </w:t>
            </w:r>
            <w:r w:rsidR="007779F0" w:rsidRPr="00984E85">
              <w:t xml:space="preserve">staff by </w:t>
            </w:r>
            <w:r w:rsidR="00417EF9">
              <w:t>Grade</w:t>
            </w:r>
            <w:r>
              <w:t>,</w:t>
            </w:r>
            <w:r w:rsidR="00417EF9">
              <w:t xml:space="preserve"> G</w:t>
            </w:r>
            <w:r w:rsidR="007779F0" w:rsidRPr="00984E85">
              <w:t>ender</w:t>
            </w:r>
            <w:r w:rsidR="00417EF9">
              <w:t xml:space="preserve"> and Age</w:t>
            </w:r>
          </w:p>
        </w:tc>
      </w:tr>
      <w:tr w:rsidR="00531B3C" w14:paraId="3D9958E3" w14:textId="77777777">
        <w:tc>
          <w:tcPr>
            <w:tcW w:w="2438" w:type="dxa"/>
            <w:tcBorders>
              <w:top w:val="nil"/>
              <w:left w:val="single" w:sz="8" w:space="0" w:color="000000"/>
              <w:bottom w:val="nil"/>
              <w:right w:val="nil"/>
            </w:tcBorders>
            <w:shd w:val="clear" w:color="auto" w:fill="auto"/>
          </w:tcPr>
          <w:p w14:paraId="2EB77B98" w14:textId="77777777" w:rsidR="00531B3C" w:rsidRPr="00984E85" w:rsidRDefault="00542D7D">
            <w:r w:rsidRPr="00984E85">
              <w:t>Appendix 3</w:t>
            </w:r>
          </w:p>
          <w:p w14:paraId="4C87949F" w14:textId="77777777" w:rsidR="000608F4" w:rsidRDefault="000608F4"/>
          <w:p w14:paraId="500D3A41" w14:textId="77777777" w:rsidR="00346EA7" w:rsidRPr="00984E85" w:rsidRDefault="00346EA7">
            <w:r w:rsidRPr="00984E85">
              <w:t>Appendix 4</w:t>
            </w:r>
          </w:p>
        </w:tc>
        <w:tc>
          <w:tcPr>
            <w:tcW w:w="6406" w:type="dxa"/>
            <w:tcBorders>
              <w:top w:val="nil"/>
              <w:left w:val="nil"/>
              <w:bottom w:val="nil"/>
              <w:right w:val="single" w:sz="8" w:space="0" w:color="000000"/>
            </w:tcBorders>
          </w:tcPr>
          <w:p w14:paraId="2680A6C2" w14:textId="45E4EDE5" w:rsidR="00346EA7" w:rsidRPr="00984E85" w:rsidRDefault="000608F4">
            <w:pPr>
              <w:rPr>
                <w:rFonts w:cs="Arial"/>
              </w:rPr>
            </w:pPr>
            <w:r>
              <w:rPr>
                <w:rFonts w:cs="Arial"/>
              </w:rPr>
              <w:t xml:space="preserve">Ethnicity Pay Gap and </w:t>
            </w:r>
            <w:r w:rsidR="000839A2" w:rsidRPr="00984E85">
              <w:rPr>
                <w:rFonts w:cs="Arial"/>
              </w:rPr>
              <w:t>Distribution of Council staff by Grade and Ethnicity</w:t>
            </w:r>
          </w:p>
          <w:p w14:paraId="308A1D78" w14:textId="0BF4E1D0" w:rsidR="00346EA7" w:rsidRPr="00984E85" w:rsidRDefault="000608F4">
            <w:pPr>
              <w:rPr>
                <w:rFonts w:cs="Arial"/>
              </w:rPr>
            </w:pPr>
            <w:r>
              <w:rPr>
                <w:rFonts w:cs="Arial"/>
              </w:rPr>
              <w:t xml:space="preserve">Disability Pay Gap and </w:t>
            </w:r>
            <w:r w:rsidR="00346EA7" w:rsidRPr="00984E85">
              <w:rPr>
                <w:rFonts w:cs="Arial"/>
              </w:rPr>
              <w:t>Distribution of Council staff by Grade and Disability</w:t>
            </w:r>
          </w:p>
        </w:tc>
      </w:tr>
      <w:tr w:rsidR="00531B3C" w14:paraId="71609CC3" w14:textId="77777777" w:rsidTr="00346EA7">
        <w:trPr>
          <w:trHeight w:val="118"/>
        </w:trPr>
        <w:tc>
          <w:tcPr>
            <w:tcW w:w="2438" w:type="dxa"/>
            <w:tcBorders>
              <w:top w:val="nil"/>
              <w:left w:val="single" w:sz="8" w:space="0" w:color="000000"/>
              <w:bottom w:val="single" w:sz="8" w:space="0" w:color="000000"/>
              <w:right w:val="nil"/>
            </w:tcBorders>
            <w:shd w:val="clear" w:color="auto" w:fill="auto"/>
          </w:tcPr>
          <w:p w14:paraId="3EF3E391" w14:textId="77777777" w:rsidR="00531B3C" w:rsidRDefault="00531B3C"/>
        </w:tc>
        <w:tc>
          <w:tcPr>
            <w:tcW w:w="6406" w:type="dxa"/>
            <w:tcBorders>
              <w:top w:val="nil"/>
              <w:left w:val="nil"/>
              <w:bottom w:val="single" w:sz="8" w:space="0" w:color="000000"/>
              <w:right w:val="single" w:sz="8" w:space="0" w:color="000000"/>
            </w:tcBorders>
          </w:tcPr>
          <w:p w14:paraId="2D6E091E" w14:textId="77777777" w:rsidR="00531B3C" w:rsidRDefault="00531B3C"/>
        </w:tc>
      </w:tr>
    </w:tbl>
    <w:p w14:paraId="226ACF04" w14:textId="77777777" w:rsidR="00531B3C" w:rsidRPr="00C67B01" w:rsidRDefault="00542D7D">
      <w:pPr>
        <w:pStyle w:val="Heading1"/>
      </w:pPr>
      <w:r w:rsidRPr="00C67B01">
        <w:t>INTRODUCTION</w:t>
      </w:r>
    </w:p>
    <w:p w14:paraId="158458DB" w14:textId="767DE440" w:rsidR="00D63439" w:rsidRPr="00B170A6" w:rsidRDefault="00A45A1E" w:rsidP="00DA4B0B">
      <w:pPr>
        <w:pStyle w:val="ListParagraph"/>
        <w:numPr>
          <w:ilvl w:val="0"/>
          <w:numId w:val="18"/>
        </w:numPr>
        <w:tabs>
          <w:tab w:val="clear" w:pos="426"/>
        </w:tabs>
        <w:ind w:left="426" w:hanging="426"/>
        <w:rPr>
          <w:rFonts w:cs="Arial"/>
        </w:rPr>
      </w:pPr>
      <w:r w:rsidRPr="00B170A6">
        <w:rPr>
          <w:rFonts w:cs="Arial"/>
        </w:rPr>
        <w:t xml:space="preserve">In 2022 we launched our </w:t>
      </w:r>
      <w:hyperlink r:id="rId12" w:history="1">
        <w:r w:rsidRPr="00B170A6">
          <w:rPr>
            <w:rStyle w:val="Hyperlink"/>
            <w:lang w:val="en"/>
          </w:rPr>
          <w:t>Equality, Diversity and Inclusion Strategy</w:t>
        </w:r>
      </w:hyperlink>
      <w:r w:rsidRPr="00B170A6">
        <w:rPr>
          <w:lang w:val="en"/>
        </w:rPr>
        <w:t>, developed using the Local Government Association Equalities Framework, which outlines four areas of focus for equality, diversity and inclusion (EDI)</w:t>
      </w:r>
      <w:r w:rsidR="00D63439" w:rsidRPr="00B170A6">
        <w:rPr>
          <w:rFonts w:cs="Arial"/>
        </w:rPr>
        <w:t>.</w:t>
      </w:r>
    </w:p>
    <w:p w14:paraId="54AFEEFE" w14:textId="77777777" w:rsidR="00A45A1E" w:rsidRPr="00B170A6" w:rsidRDefault="00A45A1E" w:rsidP="00DA4B0B">
      <w:pPr>
        <w:numPr>
          <w:ilvl w:val="0"/>
          <w:numId w:val="19"/>
        </w:numPr>
        <w:spacing w:before="100" w:beforeAutospacing="1" w:after="100" w:afterAutospacing="1" w:line="240" w:lineRule="auto"/>
        <w:ind w:firstLine="511"/>
        <w:rPr>
          <w:lang w:val="en"/>
        </w:rPr>
      </w:pPr>
      <w:r w:rsidRPr="00B170A6">
        <w:rPr>
          <w:lang w:val="en"/>
        </w:rPr>
        <w:t>Understanding and Working with our Communities</w:t>
      </w:r>
    </w:p>
    <w:p w14:paraId="7C7069C6" w14:textId="77777777" w:rsidR="00A45A1E" w:rsidRPr="00B170A6" w:rsidRDefault="00A45A1E" w:rsidP="1AF33E0F">
      <w:pPr>
        <w:numPr>
          <w:ilvl w:val="0"/>
          <w:numId w:val="19"/>
        </w:numPr>
        <w:spacing w:before="100" w:beforeAutospacing="1" w:after="100" w:afterAutospacing="1" w:line="240" w:lineRule="auto"/>
        <w:ind w:firstLine="511"/>
        <w:rPr>
          <w:lang w:val="en-US"/>
        </w:rPr>
      </w:pPr>
      <w:r w:rsidRPr="1AF33E0F">
        <w:rPr>
          <w:lang w:val="en-US"/>
        </w:rPr>
        <w:t>Leadership and Organisational Commitment</w:t>
      </w:r>
    </w:p>
    <w:p w14:paraId="7F96D985" w14:textId="77777777" w:rsidR="00A45A1E" w:rsidRPr="00B170A6" w:rsidRDefault="00A45A1E" w:rsidP="00DA4B0B">
      <w:pPr>
        <w:numPr>
          <w:ilvl w:val="0"/>
          <w:numId w:val="19"/>
        </w:numPr>
        <w:spacing w:before="100" w:beforeAutospacing="1" w:after="100" w:afterAutospacing="1" w:line="240" w:lineRule="auto"/>
        <w:ind w:firstLine="511"/>
        <w:rPr>
          <w:lang w:val="en"/>
        </w:rPr>
      </w:pPr>
      <w:r w:rsidRPr="00B170A6">
        <w:rPr>
          <w:lang w:val="en"/>
        </w:rPr>
        <w:t>Responsive Services and Customer Care</w:t>
      </w:r>
    </w:p>
    <w:p w14:paraId="5923C89D" w14:textId="77777777" w:rsidR="00A45A1E" w:rsidRPr="00B170A6" w:rsidRDefault="00A45A1E" w:rsidP="00DA4B0B">
      <w:pPr>
        <w:numPr>
          <w:ilvl w:val="0"/>
          <w:numId w:val="19"/>
        </w:numPr>
        <w:spacing w:before="100" w:beforeAutospacing="1" w:after="100" w:afterAutospacing="1" w:line="240" w:lineRule="auto"/>
        <w:ind w:firstLine="511"/>
        <w:rPr>
          <w:lang w:val="en"/>
        </w:rPr>
      </w:pPr>
      <w:r w:rsidRPr="00B170A6">
        <w:rPr>
          <w:lang w:val="en"/>
        </w:rPr>
        <w:t>Diverse and Engaged Workforce</w:t>
      </w:r>
    </w:p>
    <w:p w14:paraId="6CA87C2D" w14:textId="7934D513" w:rsidR="00A45A1E" w:rsidRPr="00B170A6" w:rsidRDefault="00A45A1E" w:rsidP="1AF33E0F">
      <w:pPr>
        <w:pStyle w:val="ListParagraph"/>
        <w:numPr>
          <w:ilvl w:val="0"/>
          <w:numId w:val="0"/>
        </w:numPr>
        <w:ind w:left="340"/>
        <w:rPr>
          <w:lang w:val="en-US"/>
        </w:rPr>
      </w:pPr>
      <w:r w:rsidRPr="1AF33E0F">
        <w:rPr>
          <w:lang w:val="en-US"/>
        </w:rPr>
        <w:t>Our commitment to equality, diversity and inclusion influences how we work with our residents, staff and elected members. We want Oxford City Council to have a workforce that reflects the community it serves</w:t>
      </w:r>
      <w:r w:rsidR="00C448AF" w:rsidRPr="1AF33E0F">
        <w:rPr>
          <w:lang w:val="en-US"/>
        </w:rPr>
        <w:t>,</w:t>
      </w:r>
      <w:r w:rsidRPr="1AF33E0F">
        <w:rPr>
          <w:lang w:val="en-US"/>
        </w:rPr>
        <w:t xml:space="preserve"> and to be seen as an employer of choice that values and draws strength from diversity.</w:t>
      </w:r>
    </w:p>
    <w:p w14:paraId="56AA5AF8" w14:textId="723D05C6" w:rsidR="00A45A1E" w:rsidRPr="00400880" w:rsidRDefault="00A45A1E" w:rsidP="00400880">
      <w:pPr>
        <w:pStyle w:val="ListParagraph"/>
        <w:numPr>
          <w:ilvl w:val="0"/>
          <w:numId w:val="18"/>
        </w:numPr>
        <w:rPr>
          <w:rFonts w:cs="Arial"/>
        </w:rPr>
      </w:pPr>
      <w:r>
        <w:t xml:space="preserve">This report is focused on our </w:t>
      </w:r>
      <w:r w:rsidR="74FF4265">
        <w:t xml:space="preserve">Council </w:t>
      </w:r>
      <w:r>
        <w:t>workforce</w:t>
      </w:r>
      <w:r w:rsidR="173293B4">
        <w:t>.</w:t>
      </w:r>
      <w:r w:rsidR="009874C1">
        <w:t xml:space="preserve"> </w:t>
      </w:r>
      <w:r w:rsidR="0114C6B8">
        <w:t>H</w:t>
      </w:r>
      <w:r>
        <w:t>owever</w:t>
      </w:r>
      <w:r w:rsidR="003C1AD7">
        <w:t>,</w:t>
      </w:r>
      <w:r>
        <w:t xml:space="preserve"> it is important to reco</w:t>
      </w:r>
      <w:r w:rsidR="00D72E50">
        <w:t>gnise the wider context of the C</w:t>
      </w:r>
      <w:r>
        <w:t>ouncil’s equalities work and how workforce equalities fits within the strategic framework.</w:t>
      </w:r>
    </w:p>
    <w:p w14:paraId="3B3BDBBC" w14:textId="72872F85" w:rsidR="00A45A1E" w:rsidRPr="00B170A6" w:rsidRDefault="00A45A1E" w:rsidP="00400880">
      <w:pPr>
        <w:pStyle w:val="ListParagraph"/>
        <w:numPr>
          <w:ilvl w:val="0"/>
          <w:numId w:val="18"/>
        </w:numPr>
        <w:tabs>
          <w:tab w:val="clear" w:pos="426"/>
        </w:tabs>
        <w:ind w:left="426" w:hanging="426"/>
        <w:rPr>
          <w:rFonts w:cs="Arial"/>
        </w:rPr>
      </w:pPr>
      <w:r w:rsidRPr="726E49C3">
        <w:rPr>
          <w:rFonts w:cs="Arial"/>
        </w:rPr>
        <w:t>The Council’s People Strategy defines the Council’s ambition for its workforce to have the right people, with the rights skills, highly motivated, high performing and business</w:t>
      </w:r>
      <w:r w:rsidR="007E0A4A">
        <w:rPr>
          <w:rFonts w:cs="Arial"/>
        </w:rPr>
        <w:t xml:space="preserve"> </w:t>
      </w:r>
      <w:r w:rsidRPr="726E49C3">
        <w:rPr>
          <w:rFonts w:cs="Arial"/>
        </w:rPr>
        <w:t xml:space="preserve">efficient delivering the best outcomes to the people of Oxford. The strategy articulates </w:t>
      </w:r>
      <w:r>
        <w:t>the respectful, inclusive and supportive culture that will nurture a more representative workforce</w:t>
      </w:r>
      <w:r w:rsidR="008251C9">
        <w:t>,</w:t>
      </w:r>
      <w:r>
        <w:t xml:space="preserve"> taking a more </w:t>
      </w:r>
      <w:r w:rsidR="00F2069A">
        <w:t>in-depth and holistic</w:t>
      </w:r>
      <w:r>
        <w:t xml:space="preserve"> approach that focuses beyond key performance indicators</w:t>
      </w:r>
      <w:r w:rsidRPr="726E49C3">
        <w:rPr>
          <w:rFonts w:cs="Arial"/>
        </w:rPr>
        <w:t>.</w:t>
      </w:r>
    </w:p>
    <w:p w14:paraId="11517D1D" w14:textId="52845A0D" w:rsidR="001C1F60" w:rsidRPr="00B170A6" w:rsidRDefault="00D63439" w:rsidP="00DA4B0B">
      <w:pPr>
        <w:pStyle w:val="ListParagraph"/>
        <w:numPr>
          <w:ilvl w:val="0"/>
          <w:numId w:val="18"/>
        </w:numPr>
        <w:tabs>
          <w:tab w:val="clear" w:pos="426"/>
        </w:tabs>
        <w:rPr>
          <w:rFonts w:cs="Arial"/>
        </w:rPr>
      </w:pPr>
      <w:r w:rsidRPr="00B170A6">
        <w:rPr>
          <w:rFonts w:cs="Arial"/>
        </w:rPr>
        <w:t xml:space="preserve">The People Strategy is divided into six key themes to address the external context the Council faces and enable our business goals.  These </w:t>
      </w:r>
      <w:r w:rsidR="004877AF" w:rsidRPr="00B170A6">
        <w:rPr>
          <w:rFonts w:cs="Arial"/>
        </w:rPr>
        <w:t>link</w:t>
      </w:r>
      <w:r w:rsidRPr="00B170A6">
        <w:rPr>
          <w:rFonts w:cs="Arial"/>
        </w:rPr>
        <w:t xml:space="preserve"> every aspect of a person’s career cycle, ensuring the highest standards of leadership and fostering a culture which is inclusive.  These themes are</w:t>
      </w:r>
      <w:r w:rsidR="004877AF" w:rsidRPr="00B170A6">
        <w:rPr>
          <w:rFonts w:cs="Arial"/>
        </w:rPr>
        <w:t>:</w:t>
      </w:r>
    </w:p>
    <w:p w14:paraId="7E3973CF" w14:textId="77777777" w:rsidR="00D63439" w:rsidRPr="00B170A6" w:rsidRDefault="00D63439" w:rsidP="00DA4B0B">
      <w:pPr>
        <w:pStyle w:val="ListParagraph"/>
        <w:numPr>
          <w:ilvl w:val="0"/>
          <w:numId w:val="14"/>
        </w:numPr>
        <w:tabs>
          <w:tab w:val="clear" w:pos="426"/>
        </w:tabs>
        <w:rPr>
          <w:rFonts w:cs="Arial"/>
        </w:rPr>
      </w:pPr>
      <w:r w:rsidRPr="00B170A6">
        <w:rPr>
          <w:rFonts w:cs="Arial"/>
        </w:rPr>
        <w:t>High Performing and flexible workforce</w:t>
      </w:r>
    </w:p>
    <w:p w14:paraId="7D1CC7D4" w14:textId="77777777" w:rsidR="00D63439" w:rsidRPr="00B170A6" w:rsidRDefault="004877AF" w:rsidP="00DA4B0B">
      <w:pPr>
        <w:pStyle w:val="ListParagraph"/>
        <w:numPr>
          <w:ilvl w:val="0"/>
          <w:numId w:val="14"/>
        </w:numPr>
        <w:tabs>
          <w:tab w:val="clear" w:pos="426"/>
        </w:tabs>
        <w:rPr>
          <w:rFonts w:cs="Arial"/>
        </w:rPr>
      </w:pPr>
      <w:r w:rsidRPr="00B170A6">
        <w:rPr>
          <w:rFonts w:cs="Arial"/>
        </w:rPr>
        <w:t>Attract, reward and retain talent</w:t>
      </w:r>
    </w:p>
    <w:p w14:paraId="542B0521" w14:textId="77777777" w:rsidR="004877AF" w:rsidRPr="00B170A6" w:rsidRDefault="004877AF" w:rsidP="00DA4B0B">
      <w:pPr>
        <w:pStyle w:val="ListParagraph"/>
        <w:numPr>
          <w:ilvl w:val="0"/>
          <w:numId w:val="14"/>
        </w:numPr>
        <w:tabs>
          <w:tab w:val="clear" w:pos="426"/>
        </w:tabs>
        <w:rPr>
          <w:rFonts w:cs="Arial"/>
        </w:rPr>
      </w:pPr>
      <w:r w:rsidRPr="00B170A6">
        <w:rPr>
          <w:rFonts w:cs="Arial"/>
        </w:rPr>
        <w:t>Support Development</w:t>
      </w:r>
    </w:p>
    <w:p w14:paraId="1170993C" w14:textId="77777777" w:rsidR="004877AF" w:rsidRPr="00B170A6" w:rsidRDefault="004877AF" w:rsidP="00DA4B0B">
      <w:pPr>
        <w:pStyle w:val="ListParagraph"/>
        <w:numPr>
          <w:ilvl w:val="0"/>
          <w:numId w:val="14"/>
        </w:numPr>
        <w:tabs>
          <w:tab w:val="clear" w:pos="426"/>
        </w:tabs>
        <w:rPr>
          <w:rFonts w:cs="Arial"/>
        </w:rPr>
      </w:pPr>
      <w:r w:rsidRPr="00B170A6">
        <w:rPr>
          <w:rFonts w:cs="Arial"/>
        </w:rPr>
        <w:t>Create a culture of wellbeing, diversity and engagement</w:t>
      </w:r>
    </w:p>
    <w:p w14:paraId="27B348E6" w14:textId="77777777" w:rsidR="004877AF" w:rsidRPr="00B170A6" w:rsidRDefault="004877AF" w:rsidP="00DA4B0B">
      <w:pPr>
        <w:pStyle w:val="ListParagraph"/>
        <w:numPr>
          <w:ilvl w:val="0"/>
          <w:numId w:val="14"/>
        </w:numPr>
        <w:tabs>
          <w:tab w:val="clear" w:pos="426"/>
        </w:tabs>
        <w:rPr>
          <w:rFonts w:cs="Arial"/>
        </w:rPr>
      </w:pPr>
      <w:r w:rsidRPr="00B170A6">
        <w:rPr>
          <w:rFonts w:cs="Arial"/>
        </w:rPr>
        <w:lastRenderedPageBreak/>
        <w:t>Promote, champion and support inspirational leaders</w:t>
      </w:r>
    </w:p>
    <w:p w14:paraId="0076D9BE" w14:textId="794ED7F5" w:rsidR="00004966" w:rsidRDefault="008E5206" w:rsidP="008777E7">
      <w:pPr>
        <w:pStyle w:val="ListParagraph"/>
        <w:numPr>
          <w:ilvl w:val="0"/>
          <w:numId w:val="14"/>
        </w:numPr>
        <w:tabs>
          <w:tab w:val="clear" w:pos="426"/>
        </w:tabs>
        <w:rPr>
          <w:rFonts w:cs="Arial"/>
        </w:rPr>
      </w:pPr>
      <w:r w:rsidRPr="00B170A6">
        <w:rPr>
          <w:rFonts w:cs="Arial"/>
        </w:rPr>
        <w:t>People Team transformation</w:t>
      </w:r>
    </w:p>
    <w:p w14:paraId="3899FC51" w14:textId="77777777" w:rsidR="008777E7" w:rsidRPr="008777E7" w:rsidRDefault="008777E7" w:rsidP="008777E7">
      <w:pPr>
        <w:pStyle w:val="ListParagraph"/>
        <w:numPr>
          <w:ilvl w:val="0"/>
          <w:numId w:val="0"/>
        </w:numPr>
        <w:tabs>
          <w:tab w:val="clear" w:pos="426"/>
        </w:tabs>
        <w:ind w:left="1080"/>
        <w:rPr>
          <w:rFonts w:cs="Arial"/>
        </w:rPr>
      </w:pPr>
    </w:p>
    <w:p w14:paraId="3C52E202" w14:textId="749B238E" w:rsidR="00C327B4" w:rsidRPr="00B170A6" w:rsidRDefault="00C327B4" w:rsidP="00DA4B0B">
      <w:pPr>
        <w:pStyle w:val="ListParagraph"/>
        <w:numPr>
          <w:ilvl w:val="0"/>
          <w:numId w:val="18"/>
        </w:numPr>
        <w:tabs>
          <w:tab w:val="clear" w:pos="426"/>
        </w:tabs>
        <w:rPr>
          <w:rFonts w:cs="Arial"/>
        </w:rPr>
      </w:pPr>
      <w:r w:rsidRPr="00B170A6">
        <w:rPr>
          <w:rFonts w:cs="Arial"/>
        </w:rPr>
        <w:t>The key priorities</w:t>
      </w:r>
      <w:r w:rsidR="00C448AF">
        <w:rPr>
          <w:rFonts w:cs="Arial"/>
        </w:rPr>
        <w:t xml:space="preserve"> within these themes</w:t>
      </w:r>
      <w:r w:rsidRPr="00B170A6">
        <w:rPr>
          <w:rFonts w:cs="Arial"/>
        </w:rPr>
        <w:t xml:space="preserve"> are:</w:t>
      </w:r>
    </w:p>
    <w:p w14:paraId="52B54210" w14:textId="36D9B38B" w:rsidR="00C327B4" w:rsidRPr="00C67B01" w:rsidRDefault="00C327B4" w:rsidP="00DA4B0B">
      <w:pPr>
        <w:pStyle w:val="ListParagraph"/>
        <w:numPr>
          <w:ilvl w:val="0"/>
          <w:numId w:val="17"/>
        </w:numPr>
        <w:tabs>
          <w:tab w:val="clear" w:pos="426"/>
        </w:tabs>
        <w:rPr>
          <w:rFonts w:cs="Arial"/>
        </w:rPr>
      </w:pPr>
      <w:r w:rsidRPr="00B170A6">
        <w:rPr>
          <w:rFonts w:cs="Arial"/>
        </w:rPr>
        <w:t>Recruitment</w:t>
      </w:r>
      <w:r w:rsidR="00C67B01">
        <w:rPr>
          <w:rFonts w:cs="Arial"/>
        </w:rPr>
        <w:t xml:space="preserve"> and retention of talented and experienced people</w:t>
      </w:r>
    </w:p>
    <w:p w14:paraId="0EB449C4" w14:textId="30C48B5E" w:rsidR="00C327B4" w:rsidRDefault="00C327B4" w:rsidP="00DA4B0B">
      <w:pPr>
        <w:pStyle w:val="ListParagraph"/>
        <w:numPr>
          <w:ilvl w:val="0"/>
          <w:numId w:val="17"/>
        </w:numPr>
        <w:tabs>
          <w:tab w:val="clear" w:pos="426"/>
        </w:tabs>
        <w:rPr>
          <w:rFonts w:cs="Arial"/>
        </w:rPr>
      </w:pPr>
      <w:r w:rsidRPr="00C67B01">
        <w:rPr>
          <w:rFonts w:cs="Arial"/>
        </w:rPr>
        <w:t xml:space="preserve">Leadership </w:t>
      </w:r>
      <w:r w:rsidR="00C67B01">
        <w:rPr>
          <w:rFonts w:cs="Arial"/>
        </w:rPr>
        <w:t xml:space="preserve">and management </w:t>
      </w:r>
      <w:r w:rsidRPr="00C67B01">
        <w:rPr>
          <w:rFonts w:cs="Arial"/>
        </w:rPr>
        <w:t>development</w:t>
      </w:r>
      <w:r w:rsidR="00C67B01">
        <w:rPr>
          <w:rFonts w:cs="Arial"/>
        </w:rPr>
        <w:t xml:space="preserve"> to build an inclusive and high-performing organisation</w:t>
      </w:r>
    </w:p>
    <w:p w14:paraId="7F235642" w14:textId="20AD2701" w:rsidR="00C67B01" w:rsidRDefault="00C67B01" w:rsidP="00DA4B0B">
      <w:pPr>
        <w:pStyle w:val="ListParagraph"/>
        <w:numPr>
          <w:ilvl w:val="0"/>
          <w:numId w:val="17"/>
        </w:numPr>
        <w:tabs>
          <w:tab w:val="clear" w:pos="426"/>
        </w:tabs>
        <w:rPr>
          <w:rFonts w:cs="Arial"/>
        </w:rPr>
      </w:pPr>
      <w:r>
        <w:rPr>
          <w:rFonts w:cs="Arial"/>
        </w:rPr>
        <w:t>Providing more career development opportunities</w:t>
      </w:r>
    </w:p>
    <w:p w14:paraId="066713AF" w14:textId="6ABAF09A" w:rsidR="00C67B01" w:rsidRPr="00C67B01" w:rsidRDefault="00C67B01" w:rsidP="00DA4B0B">
      <w:pPr>
        <w:pStyle w:val="ListParagraph"/>
        <w:numPr>
          <w:ilvl w:val="0"/>
          <w:numId w:val="17"/>
        </w:numPr>
        <w:tabs>
          <w:tab w:val="clear" w:pos="426"/>
        </w:tabs>
        <w:rPr>
          <w:rFonts w:cs="Arial"/>
        </w:rPr>
      </w:pPr>
      <w:r>
        <w:rPr>
          <w:rFonts w:cs="Arial"/>
        </w:rPr>
        <w:t>Improving the diversity of the workforce</w:t>
      </w:r>
    </w:p>
    <w:p w14:paraId="0A792F76" w14:textId="77777777" w:rsidR="00C327B4" w:rsidRPr="00C67B01" w:rsidRDefault="00C327B4" w:rsidP="00DA4B0B">
      <w:pPr>
        <w:pStyle w:val="ListParagraph"/>
        <w:numPr>
          <w:ilvl w:val="0"/>
          <w:numId w:val="17"/>
        </w:numPr>
        <w:tabs>
          <w:tab w:val="clear" w:pos="426"/>
        </w:tabs>
        <w:rPr>
          <w:rFonts w:cs="Arial"/>
        </w:rPr>
      </w:pPr>
      <w:r w:rsidRPr="00C67B01">
        <w:rPr>
          <w:rFonts w:cs="Arial"/>
        </w:rPr>
        <w:t>Excellence in basic people service delivery</w:t>
      </w:r>
    </w:p>
    <w:p w14:paraId="5DB938A5" w14:textId="77777777" w:rsidR="00EC1DAB" w:rsidRPr="002C04B1" w:rsidRDefault="00EC1DAB" w:rsidP="00EC1DAB">
      <w:pPr>
        <w:pStyle w:val="ListParagraph"/>
        <w:numPr>
          <w:ilvl w:val="0"/>
          <w:numId w:val="0"/>
        </w:numPr>
        <w:ind w:left="360"/>
        <w:rPr>
          <w:rFonts w:cs="Arial"/>
          <w:highlight w:val="cyan"/>
        </w:rPr>
      </w:pPr>
    </w:p>
    <w:p w14:paraId="25BEE8C9" w14:textId="77777777" w:rsidR="000F419F" w:rsidRPr="00C67B01" w:rsidRDefault="006A6643" w:rsidP="00BB7245">
      <w:pPr>
        <w:rPr>
          <w:b/>
          <w:bCs/>
          <w:iCs/>
          <w:color w:val="auto"/>
        </w:rPr>
      </w:pPr>
      <w:r w:rsidRPr="00C67B01">
        <w:rPr>
          <w:b/>
          <w:bCs/>
          <w:iCs/>
          <w:color w:val="auto"/>
        </w:rPr>
        <w:t>WORKFORCE EQUALITIES REPORT</w:t>
      </w:r>
    </w:p>
    <w:p w14:paraId="27F52E81" w14:textId="77777777" w:rsidR="00CB6994" w:rsidRPr="00B170A6" w:rsidRDefault="001D3BB5" w:rsidP="00DA4B0B">
      <w:pPr>
        <w:pStyle w:val="ListParagraph"/>
        <w:numPr>
          <w:ilvl w:val="0"/>
          <w:numId w:val="18"/>
        </w:numPr>
        <w:rPr>
          <w:iCs/>
          <w:color w:val="auto"/>
        </w:rPr>
      </w:pPr>
      <w:r w:rsidRPr="00B170A6">
        <w:t xml:space="preserve">The Council is an employer committed to increasing the diversity of its workforce and providing an inclusive environment with equality of opportunity for all employees. </w:t>
      </w:r>
      <w:r w:rsidRPr="00B170A6">
        <w:rPr>
          <w:iCs/>
          <w:color w:val="auto"/>
        </w:rPr>
        <w:t>The</w:t>
      </w:r>
      <w:r w:rsidR="00170033" w:rsidRPr="00B170A6">
        <w:rPr>
          <w:iCs/>
          <w:color w:val="auto"/>
        </w:rPr>
        <w:t xml:space="preserve"> Council is committed to making sure its workforce is representative of the diverse population it serves. </w:t>
      </w:r>
    </w:p>
    <w:p w14:paraId="0405C948" w14:textId="6EF8ED1E" w:rsidR="001C1F60" w:rsidRPr="00B170A6" w:rsidRDefault="00170033" w:rsidP="00400880">
      <w:pPr>
        <w:pStyle w:val="ListParagraph"/>
        <w:numPr>
          <w:ilvl w:val="0"/>
          <w:numId w:val="18"/>
        </w:numPr>
        <w:rPr>
          <w:color w:val="auto"/>
        </w:rPr>
      </w:pPr>
      <w:r w:rsidRPr="726E49C3">
        <w:rPr>
          <w:color w:val="auto"/>
        </w:rPr>
        <w:t xml:space="preserve">Presentation of the Workforce Equalities Report </w:t>
      </w:r>
      <w:r w:rsidR="001D3BB5" w:rsidRPr="726E49C3">
        <w:rPr>
          <w:color w:val="auto"/>
        </w:rPr>
        <w:t>(WER)</w:t>
      </w:r>
      <w:r w:rsidR="00042FE7" w:rsidRPr="726E49C3">
        <w:rPr>
          <w:color w:val="auto"/>
        </w:rPr>
        <w:t>,</w:t>
      </w:r>
      <w:r w:rsidR="001D3BB5" w:rsidRPr="726E49C3">
        <w:rPr>
          <w:color w:val="auto"/>
        </w:rPr>
        <w:t xml:space="preserve"> </w:t>
      </w:r>
      <w:r w:rsidRPr="726E49C3">
        <w:rPr>
          <w:color w:val="auto"/>
        </w:rPr>
        <w:t xml:space="preserve">at Appendix 1, is an annual report that </w:t>
      </w:r>
      <w:r w:rsidR="001D3BB5" w:rsidRPr="726E49C3">
        <w:rPr>
          <w:color w:val="auto"/>
        </w:rPr>
        <w:t>the Council is obliged</w:t>
      </w:r>
      <w:r w:rsidRPr="726E49C3">
        <w:rPr>
          <w:color w:val="auto"/>
        </w:rPr>
        <w:t xml:space="preserve"> to publish every year under the Equality Act 2010</w:t>
      </w:r>
      <w:r w:rsidR="001D3BB5" w:rsidRPr="726E49C3">
        <w:rPr>
          <w:color w:val="auto"/>
        </w:rPr>
        <w:t xml:space="preserve"> (the</w:t>
      </w:r>
      <w:r w:rsidR="00B37F83" w:rsidRPr="726E49C3">
        <w:rPr>
          <w:color w:val="auto"/>
        </w:rPr>
        <w:t xml:space="preserve"> </w:t>
      </w:r>
      <w:r w:rsidR="001D3BB5" w:rsidRPr="726E49C3">
        <w:rPr>
          <w:color w:val="auto"/>
        </w:rPr>
        <w:t>Act</w:t>
      </w:r>
      <w:r w:rsidR="008844AF" w:rsidRPr="726E49C3">
        <w:rPr>
          <w:color w:val="auto"/>
        </w:rPr>
        <w:t xml:space="preserve">). </w:t>
      </w:r>
      <w:r w:rsidR="00401F60">
        <w:t xml:space="preserve">The </w:t>
      </w:r>
      <w:r w:rsidR="001D3BB5">
        <w:t xml:space="preserve">WER </w:t>
      </w:r>
      <w:r w:rsidR="00401F60">
        <w:t>provides an update on equalities</w:t>
      </w:r>
      <w:r w:rsidR="00C67B01">
        <w:t>-</w:t>
      </w:r>
      <w:r w:rsidR="00401F60">
        <w:t xml:space="preserve">related activities of the Council.  It is a ‘snap shot’ of </w:t>
      </w:r>
      <w:r w:rsidR="001D3BB5">
        <w:t>how diverse the workforce is, what recruitmen</w:t>
      </w:r>
      <w:r w:rsidR="00346EA7">
        <w:t xml:space="preserve">t has taken place and </w:t>
      </w:r>
      <w:r w:rsidR="00401F60">
        <w:t xml:space="preserve">contains data trend analysis for a three year period (1 April </w:t>
      </w:r>
      <w:r w:rsidR="00DC4261">
        <w:t>20</w:t>
      </w:r>
      <w:r w:rsidR="007E09F3">
        <w:t>21</w:t>
      </w:r>
      <w:r w:rsidR="00401F60">
        <w:t xml:space="preserve"> to 31 March 20</w:t>
      </w:r>
      <w:r w:rsidR="00942044">
        <w:t>2</w:t>
      </w:r>
      <w:r w:rsidR="007E09F3">
        <w:t>4</w:t>
      </w:r>
      <w:r w:rsidR="00401F60">
        <w:t>)</w:t>
      </w:r>
      <w:r w:rsidR="18D0B0C8">
        <w:t>.</w:t>
      </w:r>
      <w:r w:rsidR="00401F60">
        <w:t xml:space="preserve"> The </w:t>
      </w:r>
      <w:r w:rsidR="001D3BB5">
        <w:t>WER</w:t>
      </w:r>
      <w:r w:rsidR="00401F60">
        <w:t xml:space="preserve"> also provides comparative population data and </w:t>
      </w:r>
      <w:r w:rsidR="00B37F83">
        <w:t xml:space="preserve">a </w:t>
      </w:r>
      <w:r w:rsidR="00401F60">
        <w:t xml:space="preserve">breakdown of the Council’s staffing </w:t>
      </w:r>
      <w:r w:rsidR="00042FE7">
        <w:t xml:space="preserve">in relation to </w:t>
      </w:r>
      <w:r w:rsidR="00401F60">
        <w:t>key equalities reporting areas.</w:t>
      </w:r>
      <w:r w:rsidR="00910F75">
        <w:t xml:space="preserve"> </w:t>
      </w:r>
    </w:p>
    <w:p w14:paraId="6D078E65" w14:textId="18F04D6C" w:rsidR="00401F60" w:rsidRPr="00B170A6" w:rsidRDefault="00401F60" w:rsidP="00DA4B0B">
      <w:pPr>
        <w:pStyle w:val="ListParagraph"/>
        <w:numPr>
          <w:ilvl w:val="0"/>
          <w:numId w:val="18"/>
        </w:numPr>
        <w:rPr>
          <w:iCs/>
          <w:color w:val="auto"/>
        </w:rPr>
      </w:pPr>
      <w:r w:rsidRPr="00B170A6">
        <w:t xml:space="preserve">The </w:t>
      </w:r>
      <w:r w:rsidR="001D3BB5" w:rsidRPr="00B170A6">
        <w:t xml:space="preserve">WER </w:t>
      </w:r>
      <w:r w:rsidR="00346EA7" w:rsidRPr="00B170A6">
        <w:t xml:space="preserve">covers </w:t>
      </w:r>
      <w:r w:rsidRPr="00B170A6">
        <w:t xml:space="preserve">aspects of </w:t>
      </w:r>
      <w:r w:rsidR="001C1F60" w:rsidRPr="00B170A6">
        <w:t xml:space="preserve">the employment lifecycle </w:t>
      </w:r>
      <w:r w:rsidRPr="00B170A6">
        <w:t xml:space="preserve">and highlights </w:t>
      </w:r>
      <w:r w:rsidR="008844AF" w:rsidRPr="00B170A6">
        <w:t>what the</w:t>
      </w:r>
      <w:r w:rsidR="001D3BB5" w:rsidRPr="00B170A6">
        <w:t xml:space="preserve"> Council has </w:t>
      </w:r>
      <w:r w:rsidRPr="00B170A6">
        <w:t xml:space="preserve">done to increase the diversity of </w:t>
      </w:r>
      <w:r w:rsidR="00B37F83" w:rsidRPr="00B170A6">
        <w:t xml:space="preserve">its </w:t>
      </w:r>
      <w:r w:rsidRPr="00B170A6">
        <w:t xml:space="preserve">workforce, in addition to embedding the Public Sector Equality Duty and Equality Act 2010 best practice. </w:t>
      </w:r>
    </w:p>
    <w:p w14:paraId="55EE9E38" w14:textId="77777777" w:rsidR="00401F60" w:rsidRPr="00386F63" w:rsidRDefault="00401F60" w:rsidP="00DA4B0B">
      <w:pPr>
        <w:pStyle w:val="ListParagraph"/>
        <w:numPr>
          <w:ilvl w:val="0"/>
          <w:numId w:val="18"/>
        </w:numPr>
        <w:rPr>
          <w:iCs/>
          <w:color w:val="auto"/>
        </w:rPr>
      </w:pPr>
      <w:r w:rsidRPr="00386F63">
        <w:rPr>
          <w:iCs/>
          <w:color w:val="auto"/>
        </w:rPr>
        <w:t xml:space="preserve">The </w:t>
      </w:r>
      <w:r w:rsidR="00317CE8" w:rsidRPr="00386F63">
        <w:rPr>
          <w:iCs/>
          <w:color w:val="auto"/>
        </w:rPr>
        <w:t xml:space="preserve">main items to note </w:t>
      </w:r>
      <w:r w:rsidRPr="00386F63">
        <w:rPr>
          <w:iCs/>
          <w:color w:val="auto"/>
        </w:rPr>
        <w:t>are as follows:</w:t>
      </w:r>
    </w:p>
    <w:p w14:paraId="3E38A8FB" w14:textId="4F6094D4" w:rsidR="001C1F60" w:rsidRPr="00386F63" w:rsidRDefault="001C1F60" w:rsidP="009F4597">
      <w:pPr>
        <w:pStyle w:val="ListParagraph"/>
        <w:numPr>
          <w:ilvl w:val="0"/>
          <w:numId w:val="4"/>
        </w:numPr>
        <w:ind w:left="1134" w:hanging="425"/>
        <w:rPr>
          <w:iCs/>
          <w:color w:val="auto"/>
        </w:rPr>
      </w:pPr>
      <w:r w:rsidRPr="00386F63">
        <w:t xml:space="preserve">Recruitment activity </w:t>
      </w:r>
      <w:r w:rsidR="007E3A58">
        <w:t xml:space="preserve">has increased </w:t>
      </w:r>
      <w:r w:rsidR="006C080D">
        <w:t>as employee turnover has increased</w:t>
      </w:r>
      <w:r w:rsidR="00344725">
        <w:t>. We had</w:t>
      </w:r>
      <w:r w:rsidR="00386F63" w:rsidRPr="00386F63">
        <w:t xml:space="preserve"> </w:t>
      </w:r>
      <w:r w:rsidR="00C80444">
        <w:t>135</w:t>
      </w:r>
      <w:r w:rsidRPr="00386F63">
        <w:t xml:space="preserve"> new starters jo</w:t>
      </w:r>
      <w:r w:rsidR="00386F63" w:rsidRPr="00386F63">
        <w:t xml:space="preserve">ining the Council compared to </w:t>
      </w:r>
      <w:r w:rsidR="00C80444">
        <w:t xml:space="preserve">98 </w:t>
      </w:r>
      <w:r w:rsidR="00E72701">
        <w:t xml:space="preserve">in </w:t>
      </w:r>
      <w:r w:rsidR="006C080D">
        <w:t>2022/23.</w:t>
      </w:r>
      <w:r w:rsidR="00344725">
        <w:t xml:space="preserve"> </w:t>
      </w:r>
      <w:r w:rsidR="00294E7D">
        <w:t xml:space="preserve">Overall, the headcount of the organisation increased by </w:t>
      </w:r>
      <w:r w:rsidR="006F00D2">
        <w:t>3.3</w:t>
      </w:r>
      <w:r w:rsidR="007E3A58">
        <w:t>%</w:t>
      </w:r>
      <w:r w:rsidR="00294E7D">
        <w:t xml:space="preserve"> </w:t>
      </w:r>
      <w:r w:rsidR="008602A6">
        <w:t>during th</w:t>
      </w:r>
      <w:r w:rsidR="00854D25">
        <w:t>e last 12 months.</w:t>
      </w:r>
    </w:p>
    <w:p w14:paraId="4B21A882" w14:textId="4497AE4D" w:rsidR="007E3A58" w:rsidRPr="00482600" w:rsidRDefault="00D9224F" w:rsidP="00482600">
      <w:pPr>
        <w:pStyle w:val="ListParagraph"/>
        <w:numPr>
          <w:ilvl w:val="0"/>
          <w:numId w:val="4"/>
        </w:numPr>
        <w:ind w:left="1134" w:hanging="425"/>
      </w:pPr>
      <w:r>
        <w:t>Over half of the workforce are women (</w:t>
      </w:r>
      <w:r w:rsidR="007E3A58">
        <w:t>60</w:t>
      </w:r>
      <w:r>
        <w:t xml:space="preserve">%), which is </w:t>
      </w:r>
      <w:r w:rsidR="00747498">
        <w:t>higher than the propo</w:t>
      </w:r>
      <w:r w:rsidR="008B22F6">
        <w:t>rtion of women in the</w:t>
      </w:r>
      <w:r w:rsidR="007E3A58">
        <w:t xml:space="preserve"> population of Oxford at </w:t>
      </w:r>
      <w:r w:rsidR="00C43A19">
        <w:t>48.2%. T</w:t>
      </w:r>
      <w:r>
        <w:t xml:space="preserve">he proportion of women in senior roles has </w:t>
      </w:r>
      <w:r w:rsidR="00274B7D">
        <w:t>de</w:t>
      </w:r>
      <w:r>
        <w:t>creased</w:t>
      </w:r>
      <w:r w:rsidR="00386F63">
        <w:t xml:space="preserve"> by </w:t>
      </w:r>
      <w:r w:rsidR="00274B7D">
        <w:t>1</w:t>
      </w:r>
      <w:r w:rsidR="00386F63">
        <w:t>%</w:t>
      </w:r>
      <w:r>
        <w:t xml:space="preserve">, </w:t>
      </w:r>
      <w:r w:rsidR="00947C46">
        <w:t>with women</w:t>
      </w:r>
      <w:r>
        <w:t xml:space="preserve"> mak</w:t>
      </w:r>
      <w:r w:rsidR="00386F63">
        <w:t xml:space="preserve">ing up </w:t>
      </w:r>
      <w:r w:rsidR="00274B7D">
        <w:t>4</w:t>
      </w:r>
      <w:r w:rsidR="00D1257B">
        <w:t>9</w:t>
      </w:r>
      <w:r w:rsidR="00386F63">
        <w:t>% of roles at grade 11</w:t>
      </w:r>
      <w:r w:rsidR="00274B7D">
        <w:t xml:space="preserve"> and above</w:t>
      </w:r>
      <w:r w:rsidR="00386F63">
        <w:t>.</w:t>
      </w:r>
    </w:p>
    <w:p w14:paraId="21FB4115" w14:textId="4D38342E" w:rsidR="007E3A58" w:rsidRPr="00482600" w:rsidRDefault="007E3A58" w:rsidP="00482600">
      <w:pPr>
        <w:pStyle w:val="ListParagraph"/>
        <w:numPr>
          <w:ilvl w:val="0"/>
          <w:numId w:val="4"/>
        </w:numPr>
        <w:ind w:left="1134" w:hanging="425"/>
      </w:pPr>
      <w:r>
        <w:t xml:space="preserve">Data indicates a </w:t>
      </w:r>
      <w:r w:rsidR="00501FC9">
        <w:t>modest</w:t>
      </w:r>
      <w:r>
        <w:t xml:space="preserve"> increase from 14.2% to 14.8% in the representation of employees from minority ethnic groups in the workforce</w:t>
      </w:r>
      <w:r w:rsidR="001D5C3A">
        <w:t>, against a target of</w:t>
      </w:r>
      <w:r>
        <w:t xml:space="preserve"> 15%. The proportion of ethnic minority candidates applying for jobs has increased from 32% to 39.8%. The proportion appointed has increased to 18.5% from 14% </w:t>
      </w:r>
      <w:r w:rsidR="00291B5B">
        <w:t>in the previous</w:t>
      </w:r>
      <w:r>
        <w:t xml:space="preserve"> year. Ethnic minority representation in </w:t>
      </w:r>
      <w:r>
        <w:lastRenderedPageBreak/>
        <w:t>management roles has increased from 9% to 10% (</w:t>
      </w:r>
      <w:r w:rsidR="004B6FC0">
        <w:t xml:space="preserve">note that </w:t>
      </w:r>
      <w:r>
        <w:t xml:space="preserve">21% </w:t>
      </w:r>
      <w:r w:rsidR="009918AC">
        <w:t xml:space="preserve">of </w:t>
      </w:r>
      <w:r>
        <w:t>managers have not declared their ethnicity). Census data puts the economically active population from ethnic minority groups at 27.7%. </w:t>
      </w:r>
      <w:r w:rsidR="00D71BE6">
        <w:t>Recruitment data does not cover all recruitment activity but only direct, online applications</w:t>
      </w:r>
      <w:r w:rsidR="003D60C8">
        <w:t xml:space="preserve">. We currently have no way of capturing other data </w:t>
      </w:r>
      <w:r w:rsidR="001867D0">
        <w:t xml:space="preserve">efficiently. We receive applicants looking for </w:t>
      </w:r>
      <w:r w:rsidR="00B60ADE">
        <w:t xml:space="preserve">visa </w:t>
      </w:r>
      <w:r w:rsidR="001867D0">
        <w:t>sponsorshi</w:t>
      </w:r>
      <w:r w:rsidR="4B159F46">
        <w:t>p</w:t>
      </w:r>
      <w:r w:rsidR="001867D0">
        <w:t xml:space="preserve"> </w:t>
      </w:r>
      <w:r w:rsidR="00B60ADE">
        <w:t xml:space="preserve">to allow them to work in the UK </w:t>
      </w:r>
      <w:r w:rsidR="009572FE">
        <w:t>and this group is more diverse.</w:t>
      </w:r>
      <w:r w:rsidR="005547A8">
        <w:t xml:space="preserve"> We are unable to progress these applicants to shortlisting stage.</w:t>
      </w:r>
    </w:p>
    <w:p w14:paraId="51AB6157" w14:textId="4AB927AC" w:rsidR="00214FA2" w:rsidRPr="00F94A57" w:rsidRDefault="003F6A40" w:rsidP="00DA4B0B">
      <w:pPr>
        <w:pStyle w:val="ListParagraph"/>
        <w:numPr>
          <w:ilvl w:val="0"/>
          <w:numId w:val="18"/>
        </w:numPr>
        <w:rPr>
          <w:szCs w:val="22"/>
        </w:rPr>
      </w:pPr>
      <w:r>
        <w:rPr>
          <w:rFonts w:cs="Arial"/>
        </w:rPr>
        <w:t xml:space="preserve"> </w:t>
      </w:r>
      <w:r w:rsidR="002C04B1" w:rsidRPr="00F94A57">
        <w:rPr>
          <w:rFonts w:cs="Arial"/>
        </w:rPr>
        <w:t>K</w:t>
      </w:r>
      <w:r w:rsidR="001A2FD8" w:rsidRPr="00F94A57">
        <w:rPr>
          <w:rFonts w:cs="Arial"/>
        </w:rPr>
        <w:t xml:space="preserve">ey achievements in the last 12 months </w:t>
      </w:r>
      <w:r w:rsidR="00DB1D95" w:rsidRPr="00F94A57">
        <w:rPr>
          <w:rFonts w:cs="Arial"/>
        </w:rPr>
        <w:t xml:space="preserve">include: </w:t>
      </w:r>
    </w:p>
    <w:p w14:paraId="0BDC9A70" w14:textId="466C0D57" w:rsidR="003B11B5" w:rsidRPr="008923F2" w:rsidRDefault="003B11B5" w:rsidP="000B08D7">
      <w:pPr>
        <w:pStyle w:val="ListParagraph"/>
        <w:numPr>
          <w:ilvl w:val="0"/>
          <w:numId w:val="21"/>
        </w:numPr>
      </w:pPr>
      <w:r>
        <w:t>We designed and launched a positive action management development programme for aspiring managers to build a talent pool to improve representation in management roles of women, people from minority ethnic backgrounds and people with a disability. </w:t>
      </w:r>
    </w:p>
    <w:p w14:paraId="2525477E" w14:textId="7CE09C03" w:rsidR="008923F2" w:rsidRDefault="003B11B5" w:rsidP="000B08D7">
      <w:pPr>
        <w:pStyle w:val="ListParagraph"/>
        <w:numPr>
          <w:ilvl w:val="0"/>
          <w:numId w:val="21"/>
        </w:numPr>
      </w:pPr>
      <w:r w:rsidRPr="008923F2">
        <w:t xml:space="preserve">We have introduced Inclusive Recruitment training for hiring managers to develop knowledge and skills to build more inclusive recruitment practices that reduce bias in the process.  </w:t>
      </w:r>
    </w:p>
    <w:p w14:paraId="61BD2F35" w14:textId="5F7A4FF9" w:rsidR="00814DB8" w:rsidRPr="008D437F" w:rsidRDefault="003B11B5" w:rsidP="000B08D7">
      <w:pPr>
        <w:pStyle w:val="ListParagraph"/>
        <w:numPr>
          <w:ilvl w:val="0"/>
          <w:numId w:val="21"/>
        </w:numPr>
      </w:pPr>
      <w:r>
        <w:t>We have designed and launched EDI level one training</w:t>
      </w:r>
      <w:r w:rsidR="00814DB8">
        <w:t>.</w:t>
      </w:r>
      <w:r>
        <w:t xml:space="preserve"> This is delivered online and in person to make sure it is accessible to all staff.</w:t>
      </w:r>
      <w:r w:rsidR="3FF9D24E">
        <w:t xml:space="preserve"> This</w:t>
      </w:r>
      <w:r w:rsidR="00C26435">
        <w:t xml:space="preserve"> training</w:t>
      </w:r>
      <w:r w:rsidR="3FF9D24E">
        <w:t xml:space="preserve"> is </w:t>
      </w:r>
      <w:r w:rsidR="00C26435">
        <w:t xml:space="preserve">not currently </w:t>
      </w:r>
      <w:r w:rsidR="3FF9D24E">
        <w:t>mandatory</w:t>
      </w:r>
      <w:r w:rsidR="00810D74">
        <w:t>. There is man</w:t>
      </w:r>
      <w:r w:rsidR="004918DF">
        <w:t>datory trainin</w:t>
      </w:r>
      <w:r w:rsidR="00E47D48">
        <w:t xml:space="preserve">g </w:t>
      </w:r>
      <w:r w:rsidR="0085023F">
        <w:t>on our e-learning platform</w:t>
      </w:r>
      <w:r w:rsidR="00682451">
        <w:t>.</w:t>
      </w:r>
    </w:p>
    <w:p w14:paraId="200FA3D5" w14:textId="0236F182" w:rsidR="003B11B5" w:rsidRPr="00D87271" w:rsidRDefault="00814DB8" w:rsidP="000B08D7">
      <w:pPr>
        <w:pStyle w:val="ListParagraph"/>
        <w:numPr>
          <w:ilvl w:val="0"/>
          <w:numId w:val="21"/>
        </w:numPr>
      </w:pPr>
      <w:r>
        <w:t>The</w:t>
      </w:r>
      <w:r w:rsidR="003B11B5">
        <w:t xml:space="preserve"> REACH staff network is going strong</w:t>
      </w:r>
      <w:r w:rsidR="00F97657">
        <w:t xml:space="preserve"> since being setup in January 2024</w:t>
      </w:r>
      <w:r w:rsidR="003B11B5">
        <w:t>. REACH stands for Race Ethnicity and Cultural Heritag</w:t>
      </w:r>
      <w:r w:rsidR="00FF6DA7">
        <w:t>e</w:t>
      </w:r>
      <w:r>
        <w:t>.</w:t>
      </w:r>
      <w:r w:rsidR="00477A49">
        <w:t xml:space="preserve"> </w:t>
      </w:r>
      <w:r w:rsidR="008D437F">
        <w:t>A</w:t>
      </w:r>
      <w:r w:rsidR="003B11B5">
        <w:t xml:space="preserve"> Disability and Neurodiverse </w:t>
      </w:r>
      <w:r w:rsidR="00477A49">
        <w:t>n</w:t>
      </w:r>
      <w:r w:rsidR="003B11B5">
        <w:t>etwork was set up</w:t>
      </w:r>
      <w:r w:rsidR="00F97657">
        <w:t xml:space="preserve"> in June 2024</w:t>
      </w:r>
      <w:r w:rsidR="003B11B5">
        <w:t xml:space="preserve">. </w:t>
      </w:r>
    </w:p>
    <w:p w14:paraId="79DEEA23" w14:textId="13893590" w:rsidR="007E3A58" w:rsidRDefault="003B11B5" w:rsidP="000B08D7">
      <w:pPr>
        <w:pStyle w:val="ListParagraph"/>
        <w:numPr>
          <w:ilvl w:val="0"/>
          <w:numId w:val="21"/>
        </w:numPr>
      </w:pPr>
      <w:r w:rsidRPr="00F061EA">
        <w:t>The annual staff engagement survey shows improvements in views on diversity, inclusion and belonging since last year</w:t>
      </w:r>
      <w:r w:rsidR="007B7A99" w:rsidRPr="00F061EA">
        <w:t xml:space="preserve"> with </w:t>
      </w:r>
      <w:r w:rsidRPr="00F061EA">
        <w:t>94% of 668 survey respondents agree</w:t>
      </w:r>
      <w:r w:rsidR="007B7A99" w:rsidRPr="00F061EA">
        <w:t>ing</w:t>
      </w:r>
      <w:r w:rsidRPr="00F061EA">
        <w:t xml:space="preserve"> with the statement "At the Council, I think differences are respected, irrespective of things such as ethnicity, gender, disability, age and sexual orientation". This was a 3% increase </w:t>
      </w:r>
      <w:r w:rsidR="0071141C">
        <w:t xml:space="preserve">on </w:t>
      </w:r>
      <w:r w:rsidRPr="00F061EA">
        <w:t>the 2023 survey. There was the same increase in results for</w:t>
      </w:r>
      <w:r w:rsidR="0071141C">
        <w:t>:</w:t>
      </w:r>
      <w:r w:rsidRPr="00F061EA">
        <w:t xml:space="preserve"> "I feel like I belong here at the Council"</w:t>
      </w:r>
      <w:r w:rsidR="0071141C">
        <w:t xml:space="preserve"> with</w:t>
      </w:r>
      <w:r w:rsidRPr="00F061EA">
        <w:t xml:space="preserve"> 84% agree</w:t>
      </w:r>
      <w:r w:rsidR="0071141C">
        <w:t>ing wi</w:t>
      </w:r>
      <w:r w:rsidRPr="00F061EA">
        <w:t>th this statement, compared to 81% last year. </w:t>
      </w:r>
      <w:r w:rsidR="00A36AC0" w:rsidRPr="00337CE8">
        <w:rPr>
          <w:rStyle w:val="eop"/>
          <w:rFonts w:cs="Arial"/>
          <w:color w:val="auto"/>
        </w:rPr>
        <w:t>The Lunch and Learn sessions are likely to be having a positive impact on building an inclusive culture.</w:t>
      </w:r>
    </w:p>
    <w:p w14:paraId="77C946C2" w14:textId="77777777" w:rsidR="007E3A58" w:rsidRDefault="007E3A58" w:rsidP="00320660">
      <w:pPr>
        <w:spacing w:after="0" w:line="240" w:lineRule="auto"/>
      </w:pPr>
    </w:p>
    <w:p w14:paraId="02DDFF25" w14:textId="27CA4099" w:rsidR="00F94A57" w:rsidRPr="006B75F6" w:rsidRDefault="006B79C4" w:rsidP="00DA4B0B">
      <w:pPr>
        <w:pStyle w:val="ListParagraph"/>
        <w:numPr>
          <w:ilvl w:val="0"/>
          <w:numId w:val="18"/>
        </w:numPr>
        <w:rPr>
          <w:szCs w:val="22"/>
        </w:rPr>
      </w:pPr>
      <w:r>
        <w:t xml:space="preserve"> </w:t>
      </w:r>
      <w:r w:rsidR="00DB1D95" w:rsidRPr="00F94A57">
        <w:t xml:space="preserve">The WER sets out our priority </w:t>
      </w:r>
      <w:r w:rsidR="00287911" w:rsidRPr="00F94A57">
        <w:t xml:space="preserve">aims and specific actions for </w:t>
      </w:r>
      <w:r w:rsidR="00DB1D95" w:rsidRPr="00F94A57">
        <w:t>202</w:t>
      </w:r>
      <w:r w:rsidR="003B11B5">
        <w:t>4</w:t>
      </w:r>
      <w:r w:rsidR="00DB1D95" w:rsidRPr="00F94A57">
        <w:t>/202</w:t>
      </w:r>
      <w:r w:rsidR="003B11B5">
        <w:t>5</w:t>
      </w:r>
      <w:r w:rsidR="00287911" w:rsidRPr="00F94A57">
        <w:t xml:space="preserve">.  </w:t>
      </w:r>
    </w:p>
    <w:p w14:paraId="6A037332" w14:textId="6E032B4B" w:rsidR="0055690B" w:rsidRDefault="0055690B" w:rsidP="0055690B">
      <w:pPr>
        <w:rPr>
          <w:rFonts w:eastAsia="Arial"/>
        </w:rPr>
      </w:pPr>
      <w:r>
        <w:t>The Council will continue work to improve the diversity of its workforce by building inclusive recruitment practices to improve the diversity of candidates and recruits</w:t>
      </w:r>
      <w:r w:rsidR="00C5494A">
        <w:t>.</w:t>
      </w:r>
      <w:r>
        <w:t xml:space="preserve"> This will include:</w:t>
      </w:r>
    </w:p>
    <w:p w14:paraId="216741FF" w14:textId="77777777" w:rsidR="0055690B" w:rsidRDefault="0055690B" w:rsidP="000B08D7">
      <w:pPr>
        <w:pStyle w:val="ListParagraph"/>
        <w:numPr>
          <w:ilvl w:val="0"/>
          <w:numId w:val="20"/>
        </w:numPr>
        <w:tabs>
          <w:tab w:val="clear" w:pos="426"/>
        </w:tabs>
        <w:spacing w:after="0" w:line="240" w:lineRule="auto"/>
        <w:rPr>
          <w:rFonts w:eastAsia="Arial"/>
          <w:color w:val="000000" w:themeColor="text1"/>
        </w:rPr>
      </w:pPr>
      <w:r w:rsidRPr="0CF8686A">
        <w:rPr>
          <w:rFonts w:eastAsia="Arial"/>
          <w:color w:val="000000" w:themeColor="text1"/>
        </w:rPr>
        <w:t>Continued training for hiring managers on inclusive recruitment practices</w:t>
      </w:r>
    </w:p>
    <w:p w14:paraId="115B9EA5" w14:textId="77777777" w:rsidR="0055690B" w:rsidRDefault="0055690B" w:rsidP="000B08D7">
      <w:pPr>
        <w:pStyle w:val="ListParagraph"/>
        <w:numPr>
          <w:ilvl w:val="0"/>
          <w:numId w:val="20"/>
        </w:numPr>
        <w:tabs>
          <w:tab w:val="clear" w:pos="426"/>
        </w:tabs>
        <w:spacing w:after="0" w:line="240" w:lineRule="auto"/>
        <w:rPr>
          <w:rFonts w:eastAsia="Arial"/>
          <w:color w:val="000000" w:themeColor="text1"/>
        </w:rPr>
      </w:pPr>
      <w:r w:rsidRPr="726E49C3">
        <w:rPr>
          <w:rFonts w:eastAsia="Arial"/>
          <w:color w:val="000000" w:themeColor="text1"/>
        </w:rPr>
        <w:t>Online shortlisting and scoring carried out individually by panel members</w:t>
      </w:r>
    </w:p>
    <w:p w14:paraId="02E1CC9A" w14:textId="77777777" w:rsidR="0055690B" w:rsidRDefault="0055690B" w:rsidP="000B08D7">
      <w:pPr>
        <w:pStyle w:val="ListParagraph"/>
        <w:numPr>
          <w:ilvl w:val="0"/>
          <w:numId w:val="20"/>
        </w:numPr>
        <w:tabs>
          <w:tab w:val="clear" w:pos="426"/>
        </w:tabs>
        <w:spacing w:after="0" w:line="240" w:lineRule="auto"/>
        <w:rPr>
          <w:rFonts w:eastAsia="Arial"/>
          <w:color w:val="000000" w:themeColor="text1"/>
        </w:rPr>
      </w:pPr>
      <w:r w:rsidRPr="0CF8686A">
        <w:rPr>
          <w:rFonts w:eastAsia="Arial"/>
          <w:color w:val="000000" w:themeColor="text1"/>
        </w:rPr>
        <w:t>Blind application forms where personal data is hidden from the shortlisting panel</w:t>
      </w:r>
    </w:p>
    <w:p w14:paraId="2B72ED50" w14:textId="77777777" w:rsidR="0055690B" w:rsidRPr="008A4EDB" w:rsidRDefault="0055690B" w:rsidP="000B08D7">
      <w:pPr>
        <w:pStyle w:val="ListParagraph"/>
        <w:numPr>
          <w:ilvl w:val="0"/>
          <w:numId w:val="20"/>
        </w:numPr>
        <w:tabs>
          <w:tab w:val="clear" w:pos="426"/>
        </w:tabs>
        <w:spacing w:after="0" w:line="240" w:lineRule="auto"/>
        <w:rPr>
          <w:rFonts w:eastAsia="Arial"/>
          <w:color w:val="000000" w:themeColor="text1"/>
        </w:rPr>
      </w:pPr>
      <w:r w:rsidRPr="0CF8686A">
        <w:rPr>
          <w:rFonts w:eastAsia="Arial"/>
          <w:color w:val="000000" w:themeColor="text1"/>
        </w:rPr>
        <w:t>Introduction of a positive action policy</w:t>
      </w:r>
    </w:p>
    <w:p w14:paraId="3B1EDD85" w14:textId="77777777" w:rsidR="0071165A" w:rsidRDefault="0071165A" w:rsidP="0071165A">
      <w:pPr>
        <w:spacing w:after="0" w:line="240" w:lineRule="auto"/>
        <w:rPr>
          <w:rFonts w:eastAsia="Arial"/>
          <w:color w:val="000000" w:themeColor="text1"/>
        </w:rPr>
      </w:pPr>
    </w:p>
    <w:p w14:paraId="7306E6D6" w14:textId="429DD96B" w:rsidR="0055690B" w:rsidRPr="0077520B" w:rsidRDefault="0077520B" w:rsidP="0077520B">
      <w:pPr>
        <w:pStyle w:val="ListParagraph"/>
        <w:numPr>
          <w:ilvl w:val="0"/>
          <w:numId w:val="18"/>
        </w:numPr>
        <w:spacing w:after="0" w:line="240" w:lineRule="auto"/>
        <w:rPr>
          <w:rFonts w:eastAsia="Arial"/>
          <w:color w:val="000000" w:themeColor="text1"/>
        </w:rPr>
      </w:pPr>
      <w:r>
        <w:rPr>
          <w:rFonts w:eastAsia="Arial"/>
          <w:color w:val="000000" w:themeColor="text1"/>
        </w:rPr>
        <w:t xml:space="preserve"> </w:t>
      </w:r>
      <w:r w:rsidR="0071165A" w:rsidRPr="0077520B">
        <w:rPr>
          <w:rFonts w:eastAsia="Arial"/>
          <w:color w:val="000000" w:themeColor="text1"/>
        </w:rPr>
        <w:t>We will s</w:t>
      </w:r>
      <w:r w:rsidR="0055690B" w:rsidRPr="0077520B">
        <w:rPr>
          <w:rFonts w:eastAsia="Arial"/>
          <w:color w:val="000000" w:themeColor="text1"/>
        </w:rPr>
        <w:t xml:space="preserve">upport development of our staff </w:t>
      </w:r>
      <w:r w:rsidR="00774ECD" w:rsidRPr="0077520B">
        <w:rPr>
          <w:rFonts w:eastAsia="Arial"/>
          <w:color w:val="000000" w:themeColor="text1"/>
        </w:rPr>
        <w:t xml:space="preserve">and applicants from local communities </w:t>
      </w:r>
      <w:r w:rsidR="0055690B" w:rsidRPr="0077520B">
        <w:rPr>
          <w:rFonts w:eastAsia="Arial"/>
          <w:color w:val="000000" w:themeColor="text1"/>
        </w:rPr>
        <w:t>to open</w:t>
      </w:r>
      <w:r w:rsidR="00442744" w:rsidRPr="0077520B">
        <w:rPr>
          <w:rFonts w:eastAsia="Arial"/>
          <w:color w:val="000000" w:themeColor="text1"/>
        </w:rPr>
        <w:t xml:space="preserve"> </w:t>
      </w:r>
      <w:r w:rsidR="0055690B" w:rsidRPr="0077520B">
        <w:rPr>
          <w:rFonts w:eastAsia="Arial"/>
          <w:color w:val="000000" w:themeColor="text1"/>
        </w:rPr>
        <w:t>up more opportunities and retain talent. This will include:</w:t>
      </w:r>
    </w:p>
    <w:p w14:paraId="40449453" w14:textId="77777777" w:rsidR="0071165A" w:rsidRPr="0071165A" w:rsidRDefault="0071165A" w:rsidP="0071165A">
      <w:pPr>
        <w:spacing w:after="0" w:line="240" w:lineRule="auto"/>
        <w:rPr>
          <w:rFonts w:eastAsia="Arial"/>
          <w:color w:val="000000" w:themeColor="text1"/>
        </w:rPr>
      </w:pPr>
    </w:p>
    <w:p w14:paraId="6AD2893D" w14:textId="77777777" w:rsidR="0055690B" w:rsidRPr="008A4EDB" w:rsidRDefault="0055690B" w:rsidP="000B08D7">
      <w:pPr>
        <w:pStyle w:val="ListParagraph"/>
        <w:numPr>
          <w:ilvl w:val="0"/>
          <w:numId w:val="20"/>
        </w:numPr>
        <w:tabs>
          <w:tab w:val="clear" w:pos="426"/>
        </w:tabs>
        <w:spacing w:after="0" w:line="240" w:lineRule="auto"/>
        <w:rPr>
          <w:rFonts w:eastAsia="Arial"/>
          <w:color w:val="000000" w:themeColor="text1"/>
        </w:rPr>
      </w:pPr>
      <w:r>
        <w:rPr>
          <w:rFonts w:eastAsia="Arial"/>
          <w:color w:val="000000" w:themeColor="text1"/>
        </w:rPr>
        <w:t>A regular, short c</w:t>
      </w:r>
      <w:r w:rsidRPr="0CF8686A">
        <w:rPr>
          <w:rFonts w:eastAsia="Arial"/>
          <w:color w:val="000000" w:themeColor="text1"/>
        </w:rPr>
        <w:t xml:space="preserve">areer </w:t>
      </w:r>
      <w:r>
        <w:rPr>
          <w:rFonts w:eastAsia="Arial"/>
          <w:color w:val="000000" w:themeColor="text1"/>
        </w:rPr>
        <w:t>planning</w:t>
      </w:r>
      <w:r w:rsidRPr="0CF8686A">
        <w:rPr>
          <w:rFonts w:eastAsia="Arial"/>
          <w:color w:val="000000" w:themeColor="text1"/>
        </w:rPr>
        <w:t xml:space="preserve"> programme </w:t>
      </w:r>
    </w:p>
    <w:p w14:paraId="29E7DFC6" w14:textId="517542ED" w:rsidR="0055690B" w:rsidRDefault="0055690B" w:rsidP="000B08D7">
      <w:pPr>
        <w:pStyle w:val="ListParagraph"/>
        <w:numPr>
          <w:ilvl w:val="0"/>
          <w:numId w:val="20"/>
        </w:numPr>
        <w:tabs>
          <w:tab w:val="clear" w:pos="426"/>
        </w:tabs>
        <w:spacing w:line="240" w:lineRule="auto"/>
      </w:pPr>
      <w:r w:rsidRPr="44E92C72">
        <w:rPr>
          <w:rFonts w:eastAsia="Arial"/>
          <w:color w:val="000000" w:themeColor="text1"/>
        </w:rPr>
        <w:t>Continue</w:t>
      </w:r>
      <w:r w:rsidR="00D34DC1" w:rsidRPr="44E92C72">
        <w:rPr>
          <w:rFonts w:eastAsia="Arial"/>
          <w:color w:val="000000" w:themeColor="text1"/>
        </w:rPr>
        <w:t>d</w:t>
      </w:r>
      <w:r w:rsidRPr="44E92C72">
        <w:rPr>
          <w:rFonts w:eastAsia="Arial"/>
          <w:color w:val="000000" w:themeColor="text1"/>
        </w:rPr>
        <w:t xml:space="preserve"> partnership </w:t>
      </w:r>
      <w:r w:rsidR="00D34DC1" w:rsidRPr="44E92C72">
        <w:rPr>
          <w:rFonts w:eastAsia="Arial"/>
          <w:color w:val="000000" w:themeColor="text1"/>
        </w:rPr>
        <w:t xml:space="preserve">working </w:t>
      </w:r>
      <w:r w:rsidRPr="44E92C72">
        <w:rPr>
          <w:rFonts w:eastAsia="Arial"/>
          <w:color w:val="000000" w:themeColor="text1"/>
        </w:rPr>
        <w:t xml:space="preserve">with Activate learning </w:t>
      </w:r>
      <w:r>
        <w:t>to develop skills in local communities and develop more apprenticeship opportunities</w:t>
      </w:r>
    </w:p>
    <w:p w14:paraId="1A2F8414" w14:textId="1735C74D" w:rsidR="6E00B562" w:rsidRDefault="6E00B562" w:rsidP="000B08D7">
      <w:pPr>
        <w:pStyle w:val="ListParagraph"/>
        <w:numPr>
          <w:ilvl w:val="0"/>
          <w:numId w:val="20"/>
        </w:numPr>
        <w:spacing w:line="240" w:lineRule="auto"/>
      </w:pPr>
      <w:r>
        <w:t xml:space="preserve">Work experience opportunities for two local schools </w:t>
      </w:r>
    </w:p>
    <w:p w14:paraId="3E655DC2" w14:textId="57C9885D" w:rsidR="0055690B" w:rsidRPr="0077520B" w:rsidRDefault="0077520B" w:rsidP="0077520B">
      <w:pPr>
        <w:pStyle w:val="ListParagraph"/>
        <w:numPr>
          <w:ilvl w:val="0"/>
          <w:numId w:val="18"/>
        </w:numPr>
        <w:rPr>
          <w:szCs w:val="22"/>
        </w:rPr>
      </w:pPr>
      <w:r>
        <w:rPr>
          <w:szCs w:val="22"/>
        </w:rPr>
        <w:t xml:space="preserve"> </w:t>
      </w:r>
      <w:r w:rsidR="0055690B" w:rsidRPr="0077520B">
        <w:rPr>
          <w:szCs w:val="22"/>
        </w:rPr>
        <w:t>We will continue to build inclusive leadership practices and culture. This will include:</w:t>
      </w:r>
    </w:p>
    <w:p w14:paraId="51CAC25A" w14:textId="77777777" w:rsidR="0055690B" w:rsidRDefault="0055690B" w:rsidP="0055690B">
      <w:pPr>
        <w:pStyle w:val="ListParagraph"/>
        <w:numPr>
          <w:ilvl w:val="0"/>
          <w:numId w:val="16"/>
        </w:numPr>
        <w:tabs>
          <w:tab w:val="clear" w:pos="426"/>
        </w:tabs>
        <w:spacing w:after="0" w:line="240" w:lineRule="auto"/>
        <w:rPr>
          <w:rFonts w:eastAsia="Arial"/>
          <w:color w:val="000000" w:themeColor="text1"/>
        </w:rPr>
      </w:pPr>
      <w:r>
        <w:rPr>
          <w:rFonts w:eastAsia="Arial"/>
          <w:color w:val="000000" w:themeColor="text1"/>
        </w:rPr>
        <w:t xml:space="preserve">Building on the level 1 EDI training to design and deliver </w:t>
      </w:r>
      <w:r w:rsidRPr="0CF8686A">
        <w:rPr>
          <w:rFonts w:eastAsia="Arial"/>
          <w:color w:val="000000" w:themeColor="text1"/>
        </w:rPr>
        <w:t>level 2 EDI training for hi</w:t>
      </w:r>
      <w:r>
        <w:rPr>
          <w:rFonts w:eastAsia="Arial"/>
          <w:color w:val="000000" w:themeColor="text1"/>
        </w:rPr>
        <w:t>ring</w:t>
      </w:r>
      <w:r w:rsidRPr="0CF8686A">
        <w:rPr>
          <w:rFonts w:eastAsia="Arial"/>
          <w:color w:val="000000" w:themeColor="text1"/>
        </w:rPr>
        <w:t xml:space="preserve"> managers </w:t>
      </w:r>
      <w:r w:rsidRPr="00742379">
        <w:rPr>
          <w:rFonts w:eastAsia="Arial"/>
          <w:color w:val="000000" w:themeColor="text1"/>
        </w:rPr>
        <w:t>and Level 3</w:t>
      </w:r>
      <w:r w:rsidRPr="0CF8686A">
        <w:rPr>
          <w:rFonts w:eastAsia="Arial"/>
          <w:color w:val="000000" w:themeColor="text1"/>
        </w:rPr>
        <w:t xml:space="preserve"> EDI training for strategic managers</w:t>
      </w:r>
      <w:r>
        <w:rPr>
          <w:rFonts w:eastAsia="Arial"/>
          <w:color w:val="000000" w:themeColor="text1"/>
        </w:rPr>
        <w:t xml:space="preserve"> and leaders.</w:t>
      </w:r>
    </w:p>
    <w:p w14:paraId="6A8EDF98" w14:textId="5B3203CE" w:rsidR="0055690B" w:rsidRPr="00A67E70" w:rsidRDefault="0055690B" w:rsidP="0055690B">
      <w:pPr>
        <w:pStyle w:val="ListParagraph"/>
        <w:numPr>
          <w:ilvl w:val="0"/>
          <w:numId w:val="16"/>
        </w:numPr>
        <w:tabs>
          <w:tab w:val="clear" w:pos="426"/>
        </w:tabs>
        <w:spacing w:after="0" w:line="240" w:lineRule="auto"/>
        <w:rPr>
          <w:rFonts w:eastAsia="Arial"/>
          <w:color w:val="000000" w:themeColor="text1"/>
        </w:rPr>
      </w:pPr>
      <w:r>
        <w:rPr>
          <w:rFonts w:eastAsia="Arial"/>
          <w:color w:val="000000" w:themeColor="text1"/>
        </w:rPr>
        <w:t>Continue</w:t>
      </w:r>
      <w:r w:rsidR="002D2C4A">
        <w:rPr>
          <w:rFonts w:eastAsia="Arial"/>
          <w:color w:val="000000" w:themeColor="text1"/>
        </w:rPr>
        <w:t>d</w:t>
      </w:r>
      <w:r>
        <w:rPr>
          <w:rFonts w:eastAsia="Arial"/>
          <w:color w:val="000000" w:themeColor="text1"/>
        </w:rPr>
        <w:t xml:space="preserve"> roll out of</w:t>
      </w:r>
      <w:r w:rsidRPr="0CF8686A">
        <w:rPr>
          <w:rFonts w:eastAsia="Arial"/>
          <w:color w:val="000000" w:themeColor="text1"/>
        </w:rPr>
        <w:t xml:space="preserve"> Bitesize Training for people managers to support </w:t>
      </w:r>
      <w:r>
        <w:rPr>
          <w:rFonts w:eastAsia="Arial"/>
          <w:color w:val="000000" w:themeColor="text1"/>
        </w:rPr>
        <w:t xml:space="preserve">inclusive management practices and </w:t>
      </w:r>
      <w:r w:rsidRPr="0CF8686A">
        <w:rPr>
          <w:rFonts w:eastAsia="Arial"/>
          <w:color w:val="000000" w:themeColor="text1"/>
        </w:rPr>
        <w:t>personal development</w:t>
      </w:r>
    </w:p>
    <w:p w14:paraId="486B9177" w14:textId="77777777" w:rsidR="0055690B" w:rsidRDefault="0055690B" w:rsidP="0055690B">
      <w:pPr>
        <w:pStyle w:val="ListParagraph"/>
        <w:numPr>
          <w:ilvl w:val="0"/>
          <w:numId w:val="16"/>
        </w:numPr>
        <w:tabs>
          <w:tab w:val="clear" w:pos="426"/>
        </w:tabs>
        <w:spacing w:line="240" w:lineRule="auto"/>
        <w:ind w:left="714" w:hanging="357"/>
      </w:pPr>
      <w:r>
        <w:t>Ongoing lunch and learn sessions to raises awareness and build inclusion and a sense of belonging for all groups</w:t>
      </w:r>
    </w:p>
    <w:p w14:paraId="43202808" w14:textId="1BE86D0D" w:rsidR="0055690B" w:rsidRDefault="00286858">
      <w:pPr>
        <w:pStyle w:val="ListParagraph"/>
        <w:numPr>
          <w:ilvl w:val="0"/>
          <w:numId w:val="16"/>
        </w:numPr>
        <w:tabs>
          <w:tab w:val="clear" w:pos="426"/>
        </w:tabs>
        <w:spacing w:line="240" w:lineRule="auto"/>
        <w:ind w:left="714" w:hanging="357"/>
      </w:pPr>
      <w:r>
        <w:t>A</w:t>
      </w:r>
      <w:r w:rsidR="0055690B">
        <w:t xml:space="preserve"> structured approach to staff networks to increase the number and establish a clear purpose and opportunities to influenc</w:t>
      </w:r>
      <w:r w:rsidR="0055154F">
        <w:t>e</w:t>
      </w:r>
    </w:p>
    <w:p w14:paraId="43AC94BF" w14:textId="3512129E" w:rsidR="0055690B" w:rsidRPr="000A5647" w:rsidRDefault="00FB3EC5" w:rsidP="00FB3EC5">
      <w:pPr>
        <w:pStyle w:val="ListParagraph"/>
        <w:numPr>
          <w:ilvl w:val="0"/>
          <w:numId w:val="18"/>
        </w:numPr>
      </w:pPr>
      <w:r>
        <w:t xml:space="preserve"> </w:t>
      </w:r>
      <w:r w:rsidR="0055690B">
        <w:t>We will i</w:t>
      </w:r>
      <w:r w:rsidR="0055690B" w:rsidRPr="000A5647">
        <w:t>mprove</w:t>
      </w:r>
      <w:r w:rsidR="0055690B">
        <w:t xml:space="preserve"> the </w:t>
      </w:r>
      <w:r w:rsidR="0055690B" w:rsidRPr="000A5647">
        <w:t>understanding of our workforce and i</w:t>
      </w:r>
      <w:r w:rsidR="0055690B">
        <w:t xml:space="preserve">ndividual employee experiences. </w:t>
      </w:r>
      <w:r w:rsidR="0055690B" w:rsidRPr="000A5647">
        <w:t>This will include:</w:t>
      </w:r>
    </w:p>
    <w:p w14:paraId="17A759D7" w14:textId="77777777" w:rsidR="0055690B" w:rsidRPr="000A5647" w:rsidRDefault="0055690B" w:rsidP="0055690B">
      <w:pPr>
        <w:pStyle w:val="ListParagraph"/>
        <w:numPr>
          <w:ilvl w:val="0"/>
          <w:numId w:val="16"/>
        </w:numPr>
        <w:tabs>
          <w:tab w:val="clear" w:pos="426"/>
        </w:tabs>
        <w:spacing w:line="240" w:lineRule="auto"/>
        <w:ind w:left="714" w:hanging="357"/>
      </w:pPr>
      <w:r w:rsidRPr="000A5647">
        <w:t>Ongoing staff surveys and evaluation of results</w:t>
      </w:r>
    </w:p>
    <w:p w14:paraId="0A2E5B56" w14:textId="77777777" w:rsidR="0055690B" w:rsidRPr="00102522" w:rsidRDefault="0055690B" w:rsidP="0055690B">
      <w:pPr>
        <w:pStyle w:val="ListParagraph"/>
        <w:numPr>
          <w:ilvl w:val="0"/>
          <w:numId w:val="16"/>
        </w:numPr>
        <w:tabs>
          <w:tab w:val="clear" w:pos="426"/>
        </w:tabs>
        <w:spacing w:line="240" w:lineRule="auto"/>
        <w:ind w:left="714" w:hanging="357"/>
      </w:pPr>
      <w:r>
        <w:t>Working closely with Union colleagues and their equality and diversity leads</w:t>
      </w:r>
    </w:p>
    <w:p w14:paraId="2F7297A2" w14:textId="31113453" w:rsidR="0055690B" w:rsidRPr="00F94A57" w:rsidRDefault="0055690B" w:rsidP="0055690B">
      <w:pPr>
        <w:pStyle w:val="ListParagraph"/>
        <w:numPr>
          <w:ilvl w:val="0"/>
          <w:numId w:val="15"/>
        </w:numPr>
      </w:pPr>
      <w:r w:rsidRPr="000A5647">
        <w:t>Improv</w:t>
      </w:r>
      <w:r w:rsidR="00072C81">
        <w:t>ed</w:t>
      </w:r>
      <w:r>
        <w:t xml:space="preserve"> </w:t>
      </w:r>
      <w:r w:rsidRPr="000A5647">
        <w:t>understanding of our workforce and i</w:t>
      </w:r>
      <w:r>
        <w:t>ndividual employee experiences</w:t>
      </w:r>
    </w:p>
    <w:p w14:paraId="0D2C9BAC" w14:textId="77777777" w:rsidR="0067008A" w:rsidRDefault="0067008A" w:rsidP="00BB7245">
      <w:pPr>
        <w:rPr>
          <w:b/>
          <w:bCs/>
        </w:rPr>
      </w:pPr>
    </w:p>
    <w:p w14:paraId="69EFE0C8" w14:textId="5E34083B" w:rsidR="006A6643" w:rsidRDefault="006A6643" w:rsidP="00BB7245">
      <w:pPr>
        <w:rPr>
          <w:b/>
          <w:bCs/>
        </w:rPr>
      </w:pPr>
      <w:r>
        <w:rPr>
          <w:b/>
          <w:bCs/>
        </w:rPr>
        <w:t>GENDER PAY GAP</w:t>
      </w:r>
    </w:p>
    <w:p w14:paraId="328F4E85" w14:textId="11611955" w:rsidR="000839A2" w:rsidRDefault="00FB3EC5" w:rsidP="00DA4B0B">
      <w:pPr>
        <w:pStyle w:val="ListParagraph"/>
        <w:numPr>
          <w:ilvl w:val="0"/>
          <w:numId w:val="18"/>
        </w:numPr>
        <w:spacing w:line="240" w:lineRule="auto"/>
      </w:pPr>
      <w:r>
        <w:t xml:space="preserve"> </w:t>
      </w:r>
      <w:r w:rsidR="000839A2">
        <w:t xml:space="preserve">The Council is required under </w:t>
      </w:r>
      <w:r w:rsidR="000839A2" w:rsidRPr="00055077">
        <w:rPr>
          <w:iCs/>
          <w:color w:val="auto"/>
        </w:rPr>
        <w:t>the Equality Act 2010</w:t>
      </w:r>
      <w:r w:rsidR="00123514">
        <w:rPr>
          <w:iCs/>
          <w:color w:val="auto"/>
        </w:rPr>
        <w:t xml:space="preserve"> (Gender Pay Gap Information) Regulations 2017</w:t>
      </w:r>
      <w:r w:rsidR="000839A2" w:rsidRPr="00055077">
        <w:rPr>
          <w:iCs/>
          <w:color w:val="auto"/>
        </w:rPr>
        <w:t xml:space="preserve"> to publish an annual</w:t>
      </w:r>
      <w:r w:rsidR="000839A2">
        <w:t xml:space="preserve"> report that provides details of the Council’s gender pay gap using a number of key measures: basic pay; bonus; the proportion of male and females receiving a bonus; and pay quartile data (basic pay) for male and female staff.</w:t>
      </w:r>
      <w:r w:rsidR="00A84E93">
        <w:t xml:space="preserve"> </w:t>
      </w:r>
      <w:r w:rsidR="00A84E93" w:rsidRPr="005005BE">
        <w:t xml:space="preserve">Due to the </w:t>
      </w:r>
      <w:r w:rsidR="00116142">
        <w:t>G</w:t>
      </w:r>
      <w:r w:rsidR="00A84E93">
        <w:t xml:space="preserve">overnment’s gender pay </w:t>
      </w:r>
      <w:r w:rsidR="00A84E93" w:rsidRPr="005005BE">
        <w:t>reporting cycle</w:t>
      </w:r>
      <w:r w:rsidR="00A84E93">
        <w:t>,</w:t>
      </w:r>
      <w:r w:rsidR="00A84E93" w:rsidRPr="005005BE">
        <w:t xml:space="preserve"> the pay data that </w:t>
      </w:r>
      <w:r w:rsidR="00A84E93">
        <w:t>the Council</w:t>
      </w:r>
      <w:r w:rsidR="00A84E93" w:rsidRPr="005005BE">
        <w:t xml:space="preserve"> </w:t>
      </w:r>
      <w:r w:rsidR="00A84E93" w:rsidRPr="00BB7245">
        <w:t>must</w:t>
      </w:r>
      <w:r w:rsidR="00A84E93" w:rsidRPr="005005BE">
        <w:t xml:space="preserve"> publish </w:t>
      </w:r>
      <w:r w:rsidR="00E24C73">
        <w:t>by 3</w:t>
      </w:r>
      <w:r w:rsidR="00116142">
        <w:t>0</w:t>
      </w:r>
      <w:r w:rsidR="00E24C73">
        <w:t xml:space="preserve"> March 202</w:t>
      </w:r>
      <w:r w:rsidR="00944C6E">
        <w:t>5</w:t>
      </w:r>
      <w:r w:rsidR="00A84E93">
        <w:t xml:space="preserve"> </w:t>
      </w:r>
      <w:r w:rsidR="00A84E93" w:rsidRPr="005005BE">
        <w:t xml:space="preserve">relates to </w:t>
      </w:r>
      <w:r w:rsidR="00A84E93">
        <w:t xml:space="preserve">Council </w:t>
      </w:r>
      <w:r w:rsidR="00A84E93" w:rsidRPr="005005BE">
        <w:t xml:space="preserve">pay data at </w:t>
      </w:r>
      <w:r w:rsidR="00A84E93">
        <w:t xml:space="preserve">the ‘snapshot date’ of </w:t>
      </w:r>
      <w:r w:rsidR="00A84E93" w:rsidRPr="005005BE">
        <w:t>3</w:t>
      </w:r>
      <w:r w:rsidR="00116142">
        <w:t>1</w:t>
      </w:r>
      <w:r w:rsidR="00A84E93" w:rsidRPr="005005BE">
        <w:t xml:space="preserve"> March 20</w:t>
      </w:r>
      <w:r w:rsidR="00E24C73">
        <w:t>2</w:t>
      </w:r>
      <w:r w:rsidR="00944C6E">
        <w:t>4</w:t>
      </w:r>
      <w:r w:rsidR="00A84E93">
        <w:t>.</w:t>
      </w:r>
      <w:r w:rsidR="000839A2" w:rsidRPr="005005BE">
        <w:t xml:space="preserve"> </w:t>
      </w:r>
    </w:p>
    <w:p w14:paraId="3EC41371" w14:textId="34B9EFEF" w:rsidR="000839A2" w:rsidRDefault="000839A2" w:rsidP="00DA4B0B">
      <w:pPr>
        <w:pStyle w:val="ListParagraph"/>
        <w:numPr>
          <w:ilvl w:val="0"/>
          <w:numId w:val="18"/>
        </w:numPr>
        <w:spacing w:line="240" w:lineRule="auto"/>
      </w:pPr>
      <w:r>
        <w:t xml:space="preserve">Gender pay gap reporting is based on </w:t>
      </w:r>
      <w:r w:rsidRPr="00FB77F0">
        <w:t>two</w:t>
      </w:r>
      <w:r>
        <w:t xml:space="preserve"> calculation method</w:t>
      </w:r>
      <w:r w:rsidR="001B4C7B">
        <w:t>s.</w:t>
      </w:r>
      <w:r>
        <w:t xml:space="preserve"> The first uses the hourly rate </w:t>
      </w:r>
      <w:r w:rsidR="001F1B38">
        <w:t>of pay for</w:t>
      </w:r>
      <w:r>
        <w:t xml:space="preserve"> male and female staff </w:t>
      </w:r>
      <w:r w:rsidR="009C005A">
        <w:t>for</w:t>
      </w:r>
      <w:r>
        <w:t xml:space="preserve"> the following reporting indices: -</w:t>
      </w:r>
    </w:p>
    <w:p w14:paraId="032AA8B3" w14:textId="551594DD" w:rsidR="000839A2" w:rsidRDefault="000839A2" w:rsidP="3F99B71B">
      <w:pPr>
        <w:pStyle w:val="ListParagraph"/>
        <w:spacing w:line="240" w:lineRule="auto"/>
      </w:pPr>
      <w:r>
        <w:t>Mean</w:t>
      </w:r>
      <w:r w:rsidR="008E77C8">
        <w:t>*</w:t>
      </w:r>
      <w:r>
        <w:t xml:space="preserve"> gender pay gap (basic pay)</w:t>
      </w:r>
    </w:p>
    <w:p w14:paraId="16969BEB" w14:textId="4C55ECE8" w:rsidR="000839A2" w:rsidRDefault="000839A2" w:rsidP="003D2621">
      <w:pPr>
        <w:pStyle w:val="ListParagraph"/>
        <w:numPr>
          <w:ilvl w:val="0"/>
          <w:numId w:val="7"/>
        </w:numPr>
        <w:spacing w:line="240" w:lineRule="auto"/>
      </w:pPr>
      <w:r>
        <w:t>Median</w:t>
      </w:r>
      <w:r w:rsidR="008E77C8">
        <w:t>**</w:t>
      </w:r>
      <w:r>
        <w:t xml:space="preserve"> gender pay gap (basic pay) </w:t>
      </w:r>
    </w:p>
    <w:p w14:paraId="2AE84564" w14:textId="6BCAB008" w:rsidR="000839A2" w:rsidRDefault="003F7896" w:rsidP="00096861">
      <w:pPr>
        <w:spacing w:line="240" w:lineRule="auto"/>
        <w:ind w:left="426"/>
      </w:pPr>
      <w:r>
        <w:t xml:space="preserve">We also report </w:t>
      </w:r>
      <w:r w:rsidR="00D71AA1">
        <w:t>P</w:t>
      </w:r>
      <w:r w:rsidR="000839A2">
        <w:t xml:space="preserve">ay </w:t>
      </w:r>
      <w:r w:rsidR="00D71AA1">
        <w:t>Q</w:t>
      </w:r>
      <w:r w:rsidR="000839A2">
        <w:t>uartiles by gender.</w:t>
      </w:r>
    </w:p>
    <w:p w14:paraId="0F8A36CF" w14:textId="2ECFB5D5" w:rsidR="008E77C8" w:rsidRDefault="008E77C8" w:rsidP="008E77C8">
      <w:pPr>
        <w:pStyle w:val="ListParagraph"/>
        <w:numPr>
          <w:ilvl w:val="0"/>
          <w:numId w:val="0"/>
        </w:numPr>
        <w:spacing w:line="240" w:lineRule="auto"/>
        <w:ind w:left="786"/>
      </w:pPr>
      <w:r>
        <w:t xml:space="preserve">* The mean hourly rate is calculated by totalling </w:t>
      </w:r>
      <w:r w:rsidR="00947914">
        <w:t xml:space="preserve">the </w:t>
      </w:r>
      <w:r>
        <w:t>hourly rates</w:t>
      </w:r>
      <w:r w:rsidR="00947914">
        <w:t xml:space="preserve"> of all employees </w:t>
      </w:r>
      <w:r>
        <w:t xml:space="preserve">and dividing by the number of </w:t>
      </w:r>
      <w:r w:rsidR="00947914">
        <w:t>employees</w:t>
      </w:r>
      <w:r>
        <w:t>.</w:t>
      </w:r>
    </w:p>
    <w:p w14:paraId="10721789" w14:textId="14580A06" w:rsidR="008E77C8" w:rsidRDefault="008E77C8" w:rsidP="008E77C8">
      <w:pPr>
        <w:pStyle w:val="ListParagraph"/>
        <w:numPr>
          <w:ilvl w:val="0"/>
          <w:numId w:val="0"/>
        </w:numPr>
        <w:spacing w:line="240" w:lineRule="auto"/>
        <w:ind w:left="786"/>
      </w:pPr>
      <w:r>
        <w:t>** The median hourly rate is the middle value when all hourly rates are placed in order from lowest to highest.</w:t>
      </w:r>
    </w:p>
    <w:p w14:paraId="2BBACE98" w14:textId="1185D5A2" w:rsidR="00D822DD" w:rsidRDefault="00D822DD" w:rsidP="004422E1">
      <w:r w:rsidRPr="00485210">
        <w:t>The second meth</w:t>
      </w:r>
      <w:r w:rsidR="00D318F7">
        <w:t>od</w:t>
      </w:r>
      <w:r w:rsidRPr="00485210">
        <w:t xml:space="preserve"> relates to reporting on the bonus pay gap</w:t>
      </w:r>
      <w:r w:rsidR="00C6789F">
        <w:t>. H</w:t>
      </w:r>
      <w:r w:rsidRPr="00485210">
        <w:t>owever, the Council does not currently make any bonus</w:t>
      </w:r>
      <w:r>
        <w:t xml:space="preserve"> payments</w:t>
      </w:r>
      <w:r w:rsidRPr="00485210">
        <w:t xml:space="preserve"> so has no data to report for th</w:t>
      </w:r>
      <w:r w:rsidR="000415C3">
        <w:t>is</w:t>
      </w:r>
      <w:r w:rsidRPr="00485210">
        <w:t xml:space="preserve"> element.</w:t>
      </w:r>
    </w:p>
    <w:p w14:paraId="52F919E8" w14:textId="5705F379" w:rsidR="0007175F" w:rsidRDefault="0007175F" w:rsidP="004422E1">
      <w:r>
        <w:lastRenderedPageBreak/>
        <w:t xml:space="preserve">For </w:t>
      </w:r>
      <w:r w:rsidR="00751D95">
        <w:t xml:space="preserve">the </w:t>
      </w:r>
      <w:r w:rsidR="00A2675F">
        <w:t xml:space="preserve">pay gap, the difference between average male and </w:t>
      </w:r>
      <w:r w:rsidR="00AB5CF4">
        <w:t xml:space="preserve">average </w:t>
      </w:r>
      <w:r w:rsidR="00A2675F">
        <w:t xml:space="preserve">female </w:t>
      </w:r>
      <w:r w:rsidR="00AB5CF4">
        <w:t>pay is expressed as a percentage</w:t>
      </w:r>
      <w:r w:rsidR="00D10816">
        <w:t xml:space="preserve">. The percentage </w:t>
      </w:r>
      <w:r w:rsidR="0099304C">
        <w:t xml:space="preserve">gap is </w:t>
      </w:r>
      <w:r w:rsidR="00465B89">
        <w:t>that in favour of men</w:t>
      </w:r>
      <w:r w:rsidR="00BB0A42">
        <w:t xml:space="preserve">. If the pay gap is in favour of women this is expressly stated or shown </w:t>
      </w:r>
      <w:r w:rsidR="00391577">
        <w:t xml:space="preserve">as a negative </w:t>
      </w:r>
      <w:r w:rsidR="00907601">
        <w:t>figure.</w:t>
      </w:r>
    </w:p>
    <w:p w14:paraId="0D9BFBB5" w14:textId="77777777" w:rsidR="003733CB" w:rsidRDefault="003733CB" w:rsidP="004422E1"/>
    <w:p w14:paraId="389458B6" w14:textId="0389D92D" w:rsidR="00911CF9" w:rsidRPr="00EC3D29" w:rsidRDefault="004650F1" w:rsidP="00DA4B0B">
      <w:pPr>
        <w:pStyle w:val="ListParagraph"/>
        <w:numPr>
          <w:ilvl w:val="0"/>
          <w:numId w:val="18"/>
        </w:numPr>
        <w:rPr>
          <w:rFonts w:cs="Arial"/>
        </w:rPr>
      </w:pPr>
      <w:r>
        <w:rPr>
          <w:rFonts w:cs="Arial"/>
        </w:rPr>
        <w:t xml:space="preserve"> </w:t>
      </w:r>
      <w:r w:rsidR="00911CF9" w:rsidRPr="00EC3D29">
        <w:rPr>
          <w:rFonts w:cs="Arial"/>
        </w:rPr>
        <w:t xml:space="preserve">The Council’s gender pay gap details for the snapshot date of 31st </w:t>
      </w:r>
      <w:r w:rsidR="000D074B" w:rsidRPr="00EC3D29">
        <w:rPr>
          <w:rFonts w:cs="Arial"/>
        </w:rPr>
        <w:t>March</w:t>
      </w:r>
      <w:r w:rsidR="00944C6E">
        <w:rPr>
          <w:rFonts w:cs="Arial"/>
        </w:rPr>
        <w:t xml:space="preserve"> 2024</w:t>
      </w:r>
      <w:r w:rsidR="009F4037" w:rsidRPr="00EC3D29">
        <w:rPr>
          <w:rFonts w:cs="Arial"/>
        </w:rPr>
        <w:t xml:space="preserve"> </w:t>
      </w:r>
      <w:r w:rsidR="00911CF9" w:rsidRPr="00EC3D29">
        <w:rPr>
          <w:rFonts w:cs="Arial"/>
        </w:rPr>
        <w:t xml:space="preserve">is </w:t>
      </w:r>
      <w:r w:rsidR="003438D2">
        <w:rPr>
          <w:rFonts w:cs="Arial"/>
        </w:rPr>
        <w:t xml:space="preserve">shown below along with the </w:t>
      </w:r>
      <w:r w:rsidR="000271AE">
        <w:rPr>
          <w:rFonts w:cs="Arial"/>
        </w:rPr>
        <w:t>pe</w:t>
      </w:r>
      <w:r w:rsidR="00050116">
        <w:rPr>
          <w:rFonts w:cs="Arial"/>
        </w:rPr>
        <w:t xml:space="preserve">rcentage of </w:t>
      </w:r>
      <w:r w:rsidR="00C00024">
        <w:rPr>
          <w:rFonts w:cs="Arial"/>
        </w:rPr>
        <w:t>m</w:t>
      </w:r>
      <w:r w:rsidR="00E5415B">
        <w:rPr>
          <w:rFonts w:cs="Arial"/>
        </w:rPr>
        <w:t>e</w:t>
      </w:r>
      <w:r w:rsidR="00C00024">
        <w:rPr>
          <w:rFonts w:cs="Arial"/>
        </w:rPr>
        <w:t>n and women in each pay quartile.</w:t>
      </w:r>
    </w:p>
    <w:tbl>
      <w:tblPr>
        <w:tblStyle w:val="TableGrid"/>
        <w:tblW w:w="0" w:type="auto"/>
        <w:tblInd w:w="421" w:type="dxa"/>
        <w:tblLook w:val="04A0" w:firstRow="1" w:lastRow="0" w:firstColumn="1" w:lastColumn="0" w:noHBand="0" w:noVBand="1"/>
      </w:tblPr>
      <w:tblGrid>
        <w:gridCol w:w="1978"/>
        <w:gridCol w:w="2221"/>
        <w:gridCol w:w="603"/>
        <w:gridCol w:w="1805"/>
      </w:tblGrid>
      <w:tr w:rsidR="00D9391F" w:rsidRPr="00EC3D29" w14:paraId="081794F0" w14:textId="77777777" w:rsidTr="664C60EE">
        <w:tc>
          <w:tcPr>
            <w:tcW w:w="6607" w:type="dxa"/>
            <w:gridSpan w:val="4"/>
          </w:tcPr>
          <w:p w14:paraId="2E1C2080" w14:textId="4BA68EDD" w:rsidR="00D9391F" w:rsidRPr="00EC3D29" w:rsidRDefault="50E70B7C" w:rsidP="664C60EE">
            <w:pPr>
              <w:spacing w:before="120"/>
              <w:jc w:val="center"/>
              <w:rPr>
                <w:b/>
                <w:bCs/>
                <w:color w:val="auto"/>
              </w:rPr>
            </w:pPr>
            <w:r w:rsidRPr="664C60EE">
              <w:rPr>
                <w:b/>
                <w:bCs/>
                <w:color w:val="auto"/>
              </w:rPr>
              <w:t>31 March 202</w:t>
            </w:r>
            <w:r w:rsidR="00944C6E" w:rsidRPr="664C60EE">
              <w:rPr>
                <w:b/>
                <w:bCs/>
                <w:color w:val="auto"/>
              </w:rPr>
              <w:t>4</w:t>
            </w:r>
          </w:p>
        </w:tc>
      </w:tr>
      <w:tr w:rsidR="00D9391F" w:rsidRPr="00EC3D29" w14:paraId="77A758C8" w14:textId="77777777" w:rsidTr="664C60EE">
        <w:tc>
          <w:tcPr>
            <w:tcW w:w="4802" w:type="dxa"/>
            <w:gridSpan w:val="3"/>
            <w:tcBorders>
              <w:right w:val="nil"/>
            </w:tcBorders>
          </w:tcPr>
          <w:p w14:paraId="0BB964C7" w14:textId="77777777" w:rsidR="00D9391F" w:rsidRPr="00EC3D29" w:rsidRDefault="00D9391F" w:rsidP="00A756DC">
            <w:pPr>
              <w:spacing w:before="60" w:after="60"/>
              <w:rPr>
                <w:rFonts w:cs="Arial"/>
              </w:rPr>
            </w:pPr>
            <w:r w:rsidRPr="00EC3D29">
              <w:rPr>
                <w:rFonts w:cs="Arial"/>
              </w:rPr>
              <w:t>Mean gender pay gap (basic pay)</w:t>
            </w:r>
          </w:p>
        </w:tc>
        <w:tc>
          <w:tcPr>
            <w:tcW w:w="1805" w:type="dxa"/>
            <w:tcBorders>
              <w:left w:val="nil"/>
            </w:tcBorders>
          </w:tcPr>
          <w:p w14:paraId="625BD280" w14:textId="1AA66504" w:rsidR="00D9391F" w:rsidRPr="00EC3D29" w:rsidRDefault="00944C6E" w:rsidP="00A756DC">
            <w:pPr>
              <w:spacing w:before="60" w:after="60"/>
              <w:jc w:val="center"/>
              <w:rPr>
                <w:rFonts w:cs="Arial"/>
                <w:color w:val="auto"/>
              </w:rPr>
            </w:pPr>
            <w:r>
              <w:rPr>
                <w:rFonts w:cs="Arial"/>
                <w:color w:val="auto"/>
              </w:rPr>
              <w:t>6</w:t>
            </w:r>
            <w:r w:rsidR="009F4037" w:rsidRPr="00EC3D29">
              <w:rPr>
                <w:rFonts w:cs="Arial"/>
                <w:color w:val="auto"/>
              </w:rPr>
              <w:t>.5</w:t>
            </w:r>
            <w:r w:rsidR="00D9391F" w:rsidRPr="00EC3D29">
              <w:rPr>
                <w:rFonts w:cs="Arial"/>
                <w:color w:val="auto"/>
              </w:rPr>
              <w:t>%</w:t>
            </w:r>
          </w:p>
        </w:tc>
      </w:tr>
      <w:tr w:rsidR="00D9391F" w:rsidRPr="00EC3D29" w14:paraId="721DC0BC" w14:textId="77777777" w:rsidTr="664C60EE">
        <w:tc>
          <w:tcPr>
            <w:tcW w:w="4802" w:type="dxa"/>
            <w:gridSpan w:val="3"/>
            <w:tcBorders>
              <w:right w:val="nil"/>
            </w:tcBorders>
          </w:tcPr>
          <w:p w14:paraId="6A05DA27" w14:textId="77777777" w:rsidR="00D9391F" w:rsidRPr="00EC3D29" w:rsidRDefault="00D9391F" w:rsidP="00A756DC">
            <w:pPr>
              <w:spacing w:before="60" w:after="60"/>
              <w:rPr>
                <w:rFonts w:cs="Arial"/>
              </w:rPr>
            </w:pPr>
            <w:r w:rsidRPr="00EC3D29">
              <w:rPr>
                <w:rFonts w:cs="Arial"/>
              </w:rPr>
              <w:t>Median gender pay gap (basic pay)</w:t>
            </w:r>
          </w:p>
        </w:tc>
        <w:tc>
          <w:tcPr>
            <w:tcW w:w="1805" w:type="dxa"/>
            <w:tcBorders>
              <w:left w:val="nil"/>
            </w:tcBorders>
          </w:tcPr>
          <w:p w14:paraId="7D8F00C7" w14:textId="4CCF1A51" w:rsidR="00D9391F" w:rsidRPr="00EC3D29" w:rsidRDefault="00944C6E" w:rsidP="00A756DC">
            <w:pPr>
              <w:spacing w:before="60" w:after="60"/>
              <w:jc w:val="center"/>
              <w:rPr>
                <w:rFonts w:cs="Arial"/>
              </w:rPr>
            </w:pPr>
            <w:r w:rsidRPr="00CA5C05">
              <w:rPr>
                <w:rFonts w:cs="Arial"/>
              </w:rPr>
              <w:t>0.0</w:t>
            </w:r>
            <w:r w:rsidR="00D9391F" w:rsidRPr="00CA5C05">
              <w:rPr>
                <w:rFonts w:cs="Arial"/>
              </w:rPr>
              <w:t>%</w:t>
            </w:r>
          </w:p>
        </w:tc>
      </w:tr>
      <w:tr w:rsidR="00D9391F" w:rsidRPr="00EC3D29" w14:paraId="1ECC03C1" w14:textId="77777777" w:rsidTr="664C60EE">
        <w:tc>
          <w:tcPr>
            <w:tcW w:w="4802" w:type="dxa"/>
            <w:gridSpan w:val="3"/>
            <w:tcBorders>
              <w:right w:val="nil"/>
            </w:tcBorders>
          </w:tcPr>
          <w:p w14:paraId="7A77E29B" w14:textId="77777777" w:rsidR="00D9391F" w:rsidRPr="00EC3D29" w:rsidRDefault="00D9391F" w:rsidP="00A756DC">
            <w:pPr>
              <w:spacing w:before="60" w:after="60"/>
              <w:rPr>
                <w:rFonts w:cs="Arial"/>
              </w:rPr>
            </w:pPr>
            <w:r w:rsidRPr="00EC3D29">
              <w:rPr>
                <w:rFonts w:cs="Arial"/>
              </w:rPr>
              <w:t>Mean gender bonus gap</w:t>
            </w:r>
          </w:p>
        </w:tc>
        <w:tc>
          <w:tcPr>
            <w:tcW w:w="1805" w:type="dxa"/>
            <w:tcBorders>
              <w:left w:val="nil"/>
            </w:tcBorders>
          </w:tcPr>
          <w:p w14:paraId="643D4D51" w14:textId="77777777" w:rsidR="00D9391F" w:rsidRPr="00EC3D29" w:rsidRDefault="00D9391F" w:rsidP="00A756DC">
            <w:pPr>
              <w:spacing w:before="60" w:after="60"/>
              <w:jc w:val="center"/>
              <w:rPr>
                <w:rFonts w:cs="Arial"/>
                <w:color w:val="FF0000"/>
              </w:rPr>
            </w:pPr>
            <w:r w:rsidRPr="00EC3D29">
              <w:rPr>
                <w:rFonts w:cs="Arial"/>
                <w:color w:val="auto"/>
              </w:rPr>
              <w:t>0%</w:t>
            </w:r>
          </w:p>
        </w:tc>
      </w:tr>
      <w:tr w:rsidR="00D9391F" w:rsidRPr="00EC3D29" w14:paraId="44428F6D" w14:textId="77777777" w:rsidTr="664C60EE">
        <w:tc>
          <w:tcPr>
            <w:tcW w:w="4802" w:type="dxa"/>
            <w:gridSpan w:val="3"/>
            <w:tcBorders>
              <w:right w:val="nil"/>
            </w:tcBorders>
          </w:tcPr>
          <w:p w14:paraId="13B8C919" w14:textId="77777777" w:rsidR="00D9391F" w:rsidRPr="00EC3D29" w:rsidRDefault="00D9391F" w:rsidP="00A756DC">
            <w:pPr>
              <w:spacing w:before="60" w:after="60"/>
              <w:rPr>
                <w:rFonts w:cs="Arial"/>
              </w:rPr>
            </w:pPr>
            <w:r w:rsidRPr="00EC3D29">
              <w:rPr>
                <w:rFonts w:cs="Arial"/>
              </w:rPr>
              <w:t>Median gender bonus gap</w:t>
            </w:r>
          </w:p>
        </w:tc>
        <w:tc>
          <w:tcPr>
            <w:tcW w:w="1805" w:type="dxa"/>
            <w:tcBorders>
              <w:left w:val="nil"/>
            </w:tcBorders>
          </w:tcPr>
          <w:p w14:paraId="33079096" w14:textId="77777777" w:rsidR="00D9391F" w:rsidRPr="00EC3D29" w:rsidRDefault="00D9391F" w:rsidP="00A756DC">
            <w:pPr>
              <w:spacing w:before="60" w:after="60"/>
              <w:jc w:val="center"/>
              <w:rPr>
                <w:rFonts w:cs="Arial"/>
              </w:rPr>
            </w:pPr>
            <w:r w:rsidRPr="00EC3D29">
              <w:rPr>
                <w:rFonts w:cs="Arial"/>
                <w:color w:val="auto"/>
              </w:rPr>
              <w:t>0%</w:t>
            </w:r>
          </w:p>
        </w:tc>
      </w:tr>
      <w:tr w:rsidR="00D9391F" w:rsidRPr="00EC3D29" w14:paraId="11C070B1" w14:textId="77777777" w:rsidTr="664C60EE">
        <w:tc>
          <w:tcPr>
            <w:tcW w:w="4802" w:type="dxa"/>
            <w:gridSpan w:val="3"/>
            <w:tcBorders>
              <w:bottom w:val="single" w:sz="4" w:space="0" w:color="auto"/>
              <w:right w:val="nil"/>
            </w:tcBorders>
          </w:tcPr>
          <w:p w14:paraId="488526A2" w14:textId="77777777" w:rsidR="00D9391F" w:rsidRPr="00EC3D29" w:rsidRDefault="00D9391F" w:rsidP="00A756DC">
            <w:pPr>
              <w:spacing w:before="60" w:after="60"/>
              <w:rPr>
                <w:rFonts w:cs="Arial"/>
              </w:rPr>
            </w:pPr>
            <w:r w:rsidRPr="00EC3D29">
              <w:rPr>
                <w:rFonts w:cs="Arial"/>
              </w:rPr>
              <w:t>Proportion males receiving a bonus</w:t>
            </w:r>
          </w:p>
        </w:tc>
        <w:tc>
          <w:tcPr>
            <w:tcW w:w="1805" w:type="dxa"/>
            <w:tcBorders>
              <w:left w:val="nil"/>
              <w:bottom w:val="single" w:sz="4" w:space="0" w:color="auto"/>
            </w:tcBorders>
          </w:tcPr>
          <w:p w14:paraId="3727ED1E" w14:textId="77777777" w:rsidR="00D9391F" w:rsidRPr="00EC3D29" w:rsidRDefault="00D9391F" w:rsidP="00A756DC">
            <w:pPr>
              <w:spacing w:before="60" w:after="60"/>
              <w:jc w:val="center"/>
              <w:rPr>
                <w:rFonts w:cs="Arial"/>
              </w:rPr>
            </w:pPr>
            <w:r w:rsidRPr="00EC3D29">
              <w:rPr>
                <w:rFonts w:cs="Arial"/>
                <w:color w:val="auto"/>
              </w:rPr>
              <w:t>0%</w:t>
            </w:r>
          </w:p>
        </w:tc>
      </w:tr>
      <w:tr w:rsidR="00D9391F" w:rsidRPr="00EC3D29" w14:paraId="7465B973" w14:textId="77777777" w:rsidTr="664C60EE">
        <w:tc>
          <w:tcPr>
            <w:tcW w:w="4802" w:type="dxa"/>
            <w:gridSpan w:val="3"/>
            <w:tcBorders>
              <w:bottom w:val="single" w:sz="4" w:space="0" w:color="auto"/>
              <w:right w:val="nil"/>
            </w:tcBorders>
          </w:tcPr>
          <w:p w14:paraId="1EAFF325" w14:textId="77777777" w:rsidR="00D9391F" w:rsidRPr="00EC3D29" w:rsidRDefault="00D9391F" w:rsidP="00A756DC">
            <w:pPr>
              <w:spacing w:before="60" w:after="60"/>
              <w:rPr>
                <w:rFonts w:cs="Arial"/>
              </w:rPr>
            </w:pPr>
            <w:r w:rsidRPr="00EC3D29">
              <w:rPr>
                <w:rFonts w:cs="Arial"/>
              </w:rPr>
              <w:t>Proportion females receiving a bonus</w:t>
            </w:r>
          </w:p>
        </w:tc>
        <w:tc>
          <w:tcPr>
            <w:tcW w:w="1805" w:type="dxa"/>
            <w:tcBorders>
              <w:left w:val="nil"/>
              <w:bottom w:val="single" w:sz="4" w:space="0" w:color="auto"/>
            </w:tcBorders>
          </w:tcPr>
          <w:p w14:paraId="5F0F98CC" w14:textId="77777777" w:rsidR="00D9391F" w:rsidRPr="00EC3D29" w:rsidRDefault="00D9391F" w:rsidP="00A756DC">
            <w:pPr>
              <w:spacing w:before="60" w:after="60"/>
              <w:jc w:val="center"/>
              <w:rPr>
                <w:rFonts w:cs="Arial"/>
              </w:rPr>
            </w:pPr>
            <w:r w:rsidRPr="00EC3D29">
              <w:rPr>
                <w:rFonts w:cs="Arial"/>
                <w:color w:val="auto"/>
              </w:rPr>
              <w:t>0%</w:t>
            </w:r>
          </w:p>
        </w:tc>
      </w:tr>
      <w:tr w:rsidR="002C31E2" w:rsidRPr="00EC3D29" w14:paraId="3C19117D" w14:textId="77777777" w:rsidTr="664C60EE">
        <w:tc>
          <w:tcPr>
            <w:tcW w:w="4802" w:type="dxa"/>
            <w:gridSpan w:val="3"/>
            <w:tcBorders>
              <w:top w:val="single" w:sz="4" w:space="0" w:color="auto"/>
              <w:left w:val="nil"/>
              <w:bottom w:val="nil"/>
              <w:right w:val="nil"/>
            </w:tcBorders>
          </w:tcPr>
          <w:p w14:paraId="7D886DD4" w14:textId="77777777" w:rsidR="002C31E2" w:rsidRPr="00EC3D29" w:rsidRDefault="002C31E2" w:rsidP="00A756DC">
            <w:pPr>
              <w:spacing w:after="0"/>
              <w:rPr>
                <w:rFonts w:cs="Arial"/>
              </w:rPr>
            </w:pPr>
          </w:p>
        </w:tc>
        <w:tc>
          <w:tcPr>
            <w:tcW w:w="1805" w:type="dxa"/>
            <w:tcBorders>
              <w:top w:val="single" w:sz="4" w:space="0" w:color="auto"/>
              <w:left w:val="nil"/>
              <w:bottom w:val="nil"/>
              <w:right w:val="nil"/>
            </w:tcBorders>
          </w:tcPr>
          <w:p w14:paraId="75EA645C" w14:textId="77777777" w:rsidR="002C31E2" w:rsidRPr="00EC3D29" w:rsidRDefault="002C31E2" w:rsidP="00A756DC">
            <w:pPr>
              <w:spacing w:after="0"/>
              <w:jc w:val="center"/>
              <w:rPr>
                <w:rFonts w:cs="Arial"/>
              </w:rPr>
            </w:pPr>
          </w:p>
        </w:tc>
      </w:tr>
      <w:tr w:rsidR="00D9391F" w:rsidRPr="00EC3D29" w14:paraId="6B0879A8" w14:textId="77777777" w:rsidTr="664C60EE">
        <w:tc>
          <w:tcPr>
            <w:tcW w:w="4802" w:type="dxa"/>
            <w:gridSpan w:val="3"/>
            <w:tcBorders>
              <w:top w:val="nil"/>
              <w:left w:val="nil"/>
              <w:bottom w:val="nil"/>
              <w:right w:val="nil"/>
            </w:tcBorders>
          </w:tcPr>
          <w:p w14:paraId="28C0A9D3" w14:textId="77777777" w:rsidR="00D9391F" w:rsidRPr="00EC3D29" w:rsidRDefault="00D9391F" w:rsidP="00A756DC">
            <w:pPr>
              <w:spacing w:after="0"/>
              <w:rPr>
                <w:rFonts w:cs="Arial"/>
              </w:rPr>
            </w:pPr>
          </w:p>
          <w:p w14:paraId="023FCD16" w14:textId="3AFF7F75" w:rsidR="00D9391F" w:rsidRPr="00EC3D29" w:rsidRDefault="50E70B7C" w:rsidP="664C60EE">
            <w:pPr>
              <w:spacing w:after="0"/>
              <w:rPr>
                <w:rFonts w:cs="Arial"/>
                <w:b/>
                <w:bCs/>
              </w:rPr>
            </w:pPr>
            <w:r w:rsidRPr="664C60EE">
              <w:rPr>
                <w:rFonts w:cs="Arial"/>
                <w:b/>
                <w:bCs/>
              </w:rPr>
              <w:t>Pay Quartiles by Gender</w:t>
            </w:r>
          </w:p>
          <w:p w14:paraId="64AB78C4" w14:textId="77777777" w:rsidR="00D9391F" w:rsidRPr="00EC3D29" w:rsidRDefault="00D9391F" w:rsidP="00A756DC">
            <w:pPr>
              <w:spacing w:after="0"/>
              <w:rPr>
                <w:rFonts w:cs="Arial"/>
              </w:rPr>
            </w:pPr>
          </w:p>
        </w:tc>
        <w:tc>
          <w:tcPr>
            <w:tcW w:w="1805" w:type="dxa"/>
            <w:tcBorders>
              <w:top w:val="nil"/>
              <w:left w:val="nil"/>
              <w:bottom w:val="nil"/>
              <w:right w:val="nil"/>
            </w:tcBorders>
          </w:tcPr>
          <w:p w14:paraId="2144E4C1" w14:textId="77777777" w:rsidR="00D9391F" w:rsidRPr="00EC3D29" w:rsidRDefault="00D9391F" w:rsidP="00A756DC">
            <w:pPr>
              <w:spacing w:after="0"/>
              <w:jc w:val="center"/>
              <w:rPr>
                <w:rFonts w:cs="Arial"/>
              </w:rPr>
            </w:pPr>
          </w:p>
        </w:tc>
      </w:tr>
      <w:tr w:rsidR="00D9391F" w:rsidRPr="00EC3D29" w14:paraId="5646FCC1" w14:textId="77777777" w:rsidTr="664C60EE">
        <w:tc>
          <w:tcPr>
            <w:tcW w:w="1978" w:type="dxa"/>
            <w:tcBorders>
              <w:top w:val="single" w:sz="4" w:space="0" w:color="auto"/>
              <w:bottom w:val="single" w:sz="4" w:space="0" w:color="auto"/>
            </w:tcBorders>
          </w:tcPr>
          <w:p w14:paraId="3F300F0D" w14:textId="77777777" w:rsidR="00D9391F" w:rsidRPr="00EC3D29" w:rsidRDefault="00D9391F" w:rsidP="00A756DC">
            <w:pPr>
              <w:spacing w:before="60" w:after="60"/>
              <w:rPr>
                <w:rFonts w:cs="Arial"/>
                <w:b/>
              </w:rPr>
            </w:pPr>
            <w:r w:rsidRPr="00EC3D29">
              <w:rPr>
                <w:rFonts w:cs="Arial"/>
                <w:b/>
              </w:rPr>
              <w:t>Quartile</w:t>
            </w:r>
          </w:p>
        </w:tc>
        <w:tc>
          <w:tcPr>
            <w:tcW w:w="2221" w:type="dxa"/>
            <w:tcBorders>
              <w:top w:val="single" w:sz="4" w:space="0" w:color="auto"/>
              <w:bottom w:val="single" w:sz="4" w:space="0" w:color="auto"/>
            </w:tcBorders>
          </w:tcPr>
          <w:p w14:paraId="31BE4AA7" w14:textId="77777777" w:rsidR="00D9391F" w:rsidRPr="00EC3D29" w:rsidRDefault="00D9391F" w:rsidP="00A756DC">
            <w:pPr>
              <w:spacing w:before="60" w:after="60"/>
              <w:jc w:val="center"/>
              <w:rPr>
                <w:rFonts w:cs="Arial"/>
                <w:b/>
              </w:rPr>
            </w:pPr>
            <w:r w:rsidRPr="00EC3D29">
              <w:rPr>
                <w:rFonts w:cs="Arial"/>
                <w:b/>
              </w:rPr>
              <w:t>Males %</w:t>
            </w:r>
          </w:p>
        </w:tc>
        <w:tc>
          <w:tcPr>
            <w:tcW w:w="2408" w:type="dxa"/>
            <w:gridSpan w:val="2"/>
            <w:tcBorders>
              <w:top w:val="single" w:sz="4" w:space="0" w:color="auto"/>
              <w:bottom w:val="single" w:sz="4" w:space="0" w:color="auto"/>
            </w:tcBorders>
          </w:tcPr>
          <w:p w14:paraId="6C42B5D7" w14:textId="77777777" w:rsidR="00D9391F" w:rsidRPr="00EC3D29" w:rsidRDefault="00D9391F" w:rsidP="00A756DC">
            <w:pPr>
              <w:spacing w:before="60" w:after="60"/>
              <w:jc w:val="center"/>
              <w:rPr>
                <w:rFonts w:cs="Arial"/>
                <w:b/>
              </w:rPr>
            </w:pPr>
            <w:r w:rsidRPr="00EC3D29">
              <w:rPr>
                <w:rFonts w:cs="Arial"/>
                <w:b/>
              </w:rPr>
              <w:t>Females %</w:t>
            </w:r>
          </w:p>
        </w:tc>
      </w:tr>
      <w:tr w:rsidR="009F4037" w:rsidRPr="00EC3D29" w14:paraId="0C27A460" w14:textId="77777777" w:rsidTr="664C60EE">
        <w:tc>
          <w:tcPr>
            <w:tcW w:w="1978" w:type="dxa"/>
            <w:tcBorders>
              <w:top w:val="single" w:sz="4" w:space="0" w:color="auto"/>
              <w:bottom w:val="single" w:sz="4" w:space="0" w:color="auto"/>
            </w:tcBorders>
          </w:tcPr>
          <w:p w14:paraId="7C5B577E" w14:textId="77777777" w:rsidR="009F4037" w:rsidRPr="00EC3D29" w:rsidRDefault="009F4037" w:rsidP="009F4037">
            <w:pPr>
              <w:spacing w:before="60" w:after="60"/>
              <w:rPr>
                <w:rFonts w:cs="Arial"/>
              </w:rPr>
            </w:pPr>
            <w:r w:rsidRPr="00EC3D29">
              <w:rPr>
                <w:rFonts w:cs="Arial"/>
              </w:rPr>
              <w:t>Top</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tcPr>
          <w:p w14:paraId="573885BE" w14:textId="1EF060E4" w:rsidR="009F4037" w:rsidRPr="00EC3D29" w:rsidRDefault="00944C6E" w:rsidP="009F4037">
            <w:pPr>
              <w:spacing w:after="0"/>
              <w:jc w:val="center"/>
              <w:rPr>
                <w:rFonts w:cs="Arial"/>
                <w:color w:val="auto"/>
              </w:rPr>
            </w:pPr>
            <w:r>
              <w:rPr>
                <w:rFonts w:ascii="Helvetica" w:hAnsi="Helvetica" w:cs="Helvetica"/>
                <w:color w:val="2D3547"/>
                <w:shd w:val="clear" w:color="auto" w:fill="F5F5F7"/>
              </w:rPr>
              <w:t>51.03</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6FA55D" w14:textId="74DDDCBC" w:rsidR="009F4037" w:rsidRPr="00EC3D29" w:rsidRDefault="00944C6E" w:rsidP="009F4037">
            <w:pPr>
              <w:spacing w:after="0"/>
              <w:jc w:val="center"/>
              <w:rPr>
                <w:rFonts w:cs="Arial"/>
                <w:color w:val="auto"/>
              </w:rPr>
            </w:pPr>
            <w:r>
              <w:rPr>
                <w:rFonts w:ascii="Helvetica" w:hAnsi="Helvetica" w:cs="Helvetica"/>
                <w:color w:val="2D3547"/>
                <w:shd w:val="clear" w:color="auto" w:fill="F5F5F7"/>
              </w:rPr>
              <w:t>48.97</w:t>
            </w:r>
          </w:p>
        </w:tc>
      </w:tr>
      <w:tr w:rsidR="009F4037" w:rsidRPr="00EC3D29" w14:paraId="7C402EBA" w14:textId="77777777" w:rsidTr="664C60EE">
        <w:tc>
          <w:tcPr>
            <w:tcW w:w="1978" w:type="dxa"/>
            <w:tcBorders>
              <w:top w:val="single" w:sz="4" w:space="0" w:color="auto"/>
              <w:bottom w:val="single" w:sz="4" w:space="0" w:color="auto"/>
            </w:tcBorders>
          </w:tcPr>
          <w:p w14:paraId="67D9A434" w14:textId="77777777" w:rsidR="009F4037" w:rsidRPr="00EC3D29" w:rsidRDefault="009F4037" w:rsidP="009F4037">
            <w:pPr>
              <w:spacing w:before="60" w:after="60"/>
              <w:rPr>
                <w:rFonts w:cs="Arial"/>
              </w:rPr>
            </w:pPr>
            <w:r w:rsidRPr="00EC3D29">
              <w:rPr>
                <w:rFonts w:cs="Arial"/>
              </w:rPr>
              <w:t>Upper Middle</w:t>
            </w:r>
          </w:p>
        </w:tc>
        <w:tc>
          <w:tcPr>
            <w:tcW w:w="2221" w:type="dxa"/>
            <w:tcBorders>
              <w:top w:val="nil"/>
              <w:left w:val="single" w:sz="4" w:space="0" w:color="auto"/>
              <w:bottom w:val="single" w:sz="4" w:space="0" w:color="auto"/>
              <w:right w:val="single" w:sz="4" w:space="0" w:color="auto"/>
            </w:tcBorders>
            <w:shd w:val="clear" w:color="auto" w:fill="auto"/>
            <w:vAlign w:val="bottom"/>
          </w:tcPr>
          <w:p w14:paraId="237D5AF9" w14:textId="35558BCF" w:rsidR="009F4037" w:rsidRPr="00EC3D29" w:rsidRDefault="00944C6E" w:rsidP="009F4037">
            <w:pPr>
              <w:jc w:val="center"/>
              <w:rPr>
                <w:rFonts w:cs="Arial"/>
              </w:rPr>
            </w:pPr>
            <w:r>
              <w:rPr>
                <w:rFonts w:ascii="Helvetica" w:hAnsi="Helvetica" w:cs="Helvetica"/>
                <w:color w:val="2D3547"/>
                <w:shd w:val="clear" w:color="auto" w:fill="F5F5F7"/>
              </w:rPr>
              <w:t>45.88</w:t>
            </w:r>
          </w:p>
        </w:tc>
        <w:tc>
          <w:tcPr>
            <w:tcW w:w="2408" w:type="dxa"/>
            <w:gridSpan w:val="2"/>
            <w:tcBorders>
              <w:top w:val="nil"/>
              <w:left w:val="single" w:sz="4" w:space="0" w:color="auto"/>
              <w:bottom w:val="single" w:sz="4" w:space="0" w:color="auto"/>
              <w:right w:val="single" w:sz="4" w:space="0" w:color="auto"/>
            </w:tcBorders>
            <w:shd w:val="clear" w:color="auto" w:fill="auto"/>
            <w:vAlign w:val="bottom"/>
          </w:tcPr>
          <w:p w14:paraId="1B17D482" w14:textId="6AF78230" w:rsidR="009F4037" w:rsidRPr="00EC3D29" w:rsidRDefault="00944C6E" w:rsidP="009F4037">
            <w:pPr>
              <w:jc w:val="center"/>
              <w:rPr>
                <w:rFonts w:cs="Arial"/>
              </w:rPr>
            </w:pPr>
            <w:r>
              <w:rPr>
                <w:rFonts w:ascii="Helvetica" w:hAnsi="Helvetica" w:cs="Helvetica"/>
                <w:color w:val="2D3547"/>
                <w:shd w:val="clear" w:color="auto" w:fill="F5F5F7"/>
              </w:rPr>
              <w:t>54.12</w:t>
            </w:r>
          </w:p>
        </w:tc>
      </w:tr>
      <w:tr w:rsidR="009F4037" w:rsidRPr="00EC3D29" w14:paraId="049DF2FD" w14:textId="77777777" w:rsidTr="664C60EE">
        <w:tc>
          <w:tcPr>
            <w:tcW w:w="1978" w:type="dxa"/>
            <w:tcBorders>
              <w:top w:val="single" w:sz="4" w:space="0" w:color="auto"/>
              <w:bottom w:val="single" w:sz="4" w:space="0" w:color="auto"/>
            </w:tcBorders>
          </w:tcPr>
          <w:p w14:paraId="454D9BEB" w14:textId="77777777" w:rsidR="009F4037" w:rsidRPr="00EC3D29" w:rsidRDefault="009F4037" w:rsidP="009F4037">
            <w:pPr>
              <w:spacing w:before="60" w:after="60"/>
              <w:rPr>
                <w:rFonts w:cs="Arial"/>
              </w:rPr>
            </w:pPr>
            <w:r w:rsidRPr="00EC3D29">
              <w:rPr>
                <w:rFonts w:cs="Arial"/>
              </w:rPr>
              <w:t>Lower Middle</w:t>
            </w:r>
          </w:p>
        </w:tc>
        <w:tc>
          <w:tcPr>
            <w:tcW w:w="2221" w:type="dxa"/>
            <w:tcBorders>
              <w:top w:val="nil"/>
              <w:left w:val="single" w:sz="4" w:space="0" w:color="auto"/>
              <w:bottom w:val="single" w:sz="4" w:space="0" w:color="auto"/>
              <w:right w:val="single" w:sz="4" w:space="0" w:color="auto"/>
            </w:tcBorders>
            <w:shd w:val="clear" w:color="auto" w:fill="auto"/>
            <w:vAlign w:val="bottom"/>
          </w:tcPr>
          <w:p w14:paraId="4D635412" w14:textId="56791908" w:rsidR="009F4037" w:rsidRPr="00EC3D29" w:rsidRDefault="00944C6E" w:rsidP="009F4037">
            <w:pPr>
              <w:jc w:val="center"/>
              <w:rPr>
                <w:rFonts w:cs="Arial"/>
              </w:rPr>
            </w:pPr>
            <w:r>
              <w:rPr>
                <w:rFonts w:ascii="Helvetica" w:hAnsi="Helvetica" w:cs="Helvetica"/>
                <w:color w:val="2D3547"/>
                <w:shd w:val="clear" w:color="auto" w:fill="F5F5F7"/>
              </w:rPr>
              <w:t>30.41</w:t>
            </w:r>
          </w:p>
        </w:tc>
        <w:tc>
          <w:tcPr>
            <w:tcW w:w="2408" w:type="dxa"/>
            <w:gridSpan w:val="2"/>
            <w:tcBorders>
              <w:top w:val="nil"/>
              <w:left w:val="single" w:sz="4" w:space="0" w:color="auto"/>
              <w:bottom w:val="single" w:sz="4" w:space="0" w:color="auto"/>
              <w:right w:val="single" w:sz="4" w:space="0" w:color="auto"/>
            </w:tcBorders>
            <w:shd w:val="clear" w:color="auto" w:fill="auto"/>
            <w:vAlign w:val="bottom"/>
          </w:tcPr>
          <w:p w14:paraId="769D1E3D" w14:textId="5D2DCA90" w:rsidR="009F4037" w:rsidRPr="00EC3D29" w:rsidRDefault="00944C6E" w:rsidP="009F4037">
            <w:pPr>
              <w:jc w:val="center"/>
              <w:rPr>
                <w:rFonts w:cs="Arial"/>
              </w:rPr>
            </w:pPr>
            <w:r>
              <w:rPr>
                <w:rFonts w:ascii="Helvetica" w:hAnsi="Helvetica" w:cs="Helvetica"/>
                <w:color w:val="2D3547"/>
                <w:shd w:val="clear" w:color="auto" w:fill="F5F5F7"/>
              </w:rPr>
              <w:t>69.59</w:t>
            </w:r>
          </w:p>
        </w:tc>
      </w:tr>
      <w:tr w:rsidR="009F4037" w:rsidRPr="00BD0369" w14:paraId="1CEC04B4" w14:textId="77777777" w:rsidTr="664C60EE">
        <w:tc>
          <w:tcPr>
            <w:tcW w:w="1978" w:type="dxa"/>
            <w:tcBorders>
              <w:top w:val="single" w:sz="4" w:space="0" w:color="auto"/>
              <w:bottom w:val="single" w:sz="4" w:space="0" w:color="auto"/>
            </w:tcBorders>
          </w:tcPr>
          <w:p w14:paraId="3A7F8BE2" w14:textId="77777777" w:rsidR="009F4037" w:rsidRPr="00EC3D29" w:rsidRDefault="009F4037" w:rsidP="009F4037">
            <w:pPr>
              <w:spacing w:before="60" w:after="60"/>
              <w:rPr>
                <w:rFonts w:cs="Arial"/>
              </w:rPr>
            </w:pPr>
            <w:r w:rsidRPr="00EC3D29">
              <w:rPr>
                <w:rFonts w:cs="Arial"/>
              </w:rPr>
              <w:t>Lower</w:t>
            </w:r>
          </w:p>
        </w:tc>
        <w:tc>
          <w:tcPr>
            <w:tcW w:w="2221" w:type="dxa"/>
            <w:tcBorders>
              <w:top w:val="nil"/>
              <w:left w:val="single" w:sz="4" w:space="0" w:color="auto"/>
              <w:bottom w:val="single" w:sz="4" w:space="0" w:color="auto"/>
              <w:right w:val="single" w:sz="4" w:space="0" w:color="auto"/>
            </w:tcBorders>
            <w:shd w:val="clear" w:color="auto" w:fill="auto"/>
            <w:vAlign w:val="bottom"/>
          </w:tcPr>
          <w:p w14:paraId="4A262AE0" w14:textId="497850EF" w:rsidR="009F4037" w:rsidRPr="00EC3D29" w:rsidRDefault="00C96593" w:rsidP="009F4037">
            <w:pPr>
              <w:jc w:val="center"/>
              <w:rPr>
                <w:rFonts w:cs="Arial"/>
              </w:rPr>
            </w:pPr>
            <w:r>
              <w:rPr>
                <w:rFonts w:cs="Arial"/>
              </w:rPr>
              <w:t>36.08</w:t>
            </w:r>
          </w:p>
        </w:tc>
        <w:tc>
          <w:tcPr>
            <w:tcW w:w="2408" w:type="dxa"/>
            <w:gridSpan w:val="2"/>
            <w:tcBorders>
              <w:top w:val="nil"/>
              <w:left w:val="single" w:sz="4" w:space="0" w:color="auto"/>
              <w:bottom w:val="single" w:sz="4" w:space="0" w:color="auto"/>
              <w:right w:val="single" w:sz="4" w:space="0" w:color="auto"/>
            </w:tcBorders>
            <w:shd w:val="clear" w:color="auto" w:fill="auto"/>
            <w:vAlign w:val="bottom"/>
          </w:tcPr>
          <w:p w14:paraId="3547C20C" w14:textId="22D67A50" w:rsidR="009F4037" w:rsidRPr="00EC3D29" w:rsidRDefault="00DC2FD6" w:rsidP="009F4037">
            <w:pPr>
              <w:jc w:val="center"/>
              <w:rPr>
                <w:rFonts w:cs="Arial"/>
              </w:rPr>
            </w:pPr>
            <w:r>
              <w:rPr>
                <w:rFonts w:ascii="Helvetica" w:hAnsi="Helvetica" w:cs="Helvetica"/>
                <w:color w:val="2D3547"/>
                <w:shd w:val="clear" w:color="auto" w:fill="F5F5F7"/>
              </w:rPr>
              <w:t>63.92</w:t>
            </w:r>
          </w:p>
        </w:tc>
      </w:tr>
    </w:tbl>
    <w:p w14:paraId="257D25AA" w14:textId="77777777" w:rsidR="00BA3F46" w:rsidRDefault="00BA3F46" w:rsidP="00BA3F46">
      <w:pPr>
        <w:rPr>
          <w:rFonts w:cs="Arial"/>
        </w:rPr>
      </w:pPr>
    </w:p>
    <w:p w14:paraId="4D1AAE0B" w14:textId="311914F0" w:rsidR="005968F7" w:rsidRDefault="004650F1" w:rsidP="00DA4B0B">
      <w:pPr>
        <w:pStyle w:val="ListParagraph"/>
        <w:numPr>
          <w:ilvl w:val="0"/>
          <w:numId w:val="18"/>
        </w:numPr>
        <w:spacing w:line="240" w:lineRule="auto"/>
      </w:pPr>
      <w:r>
        <w:t xml:space="preserve"> </w:t>
      </w:r>
      <w:r w:rsidR="005968F7" w:rsidRPr="0056315D">
        <w:t>Comparisons between the Gender Pay Gap as at 31</w:t>
      </w:r>
      <w:r w:rsidR="005968F7" w:rsidRPr="0056315D">
        <w:rPr>
          <w:vertAlign w:val="superscript"/>
        </w:rPr>
        <w:t>st</w:t>
      </w:r>
      <w:r w:rsidR="009E5FBC" w:rsidRPr="0056315D">
        <w:t xml:space="preserve"> March 20</w:t>
      </w:r>
      <w:r w:rsidR="00A756DC" w:rsidRPr="0056315D">
        <w:t>2</w:t>
      </w:r>
      <w:r w:rsidR="00DC2FD6" w:rsidRPr="0056315D">
        <w:t>3</w:t>
      </w:r>
      <w:r w:rsidR="005968F7" w:rsidRPr="0056315D">
        <w:t xml:space="preserve"> and 31</w:t>
      </w:r>
      <w:r w:rsidR="005968F7" w:rsidRPr="0056315D">
        <w:rPr>
          <w:vertAlign w:val="superscript"/>
        </w:rPr>
        <w:t>st</w:t>
      </w:r>
      <w:r w:rsidR="009E5FBC" w:rsidRPr="0056315D">
        <w:t xml:space="preserve"> March</w:t>
      </w:r>
      <w:r w:rsidR="009E5FBC">
        <w:t xml:space="preserve"> 202</w:t>
      </w:r>
      <w:r w:rsidR="00DC2FD6">
        <w:t>4</w:t>
      </w:r>
      <w:r w:rsidR="005968F7">
        <w:t xml:space="preserve"> are shown in Table 1 </w:t>
      </w:r>
      <w:r w:rsidR="005968F7" w:rsidRPr="00984E85">
        <w:rPr>
          <w:color w:val="auto"/>
        </w:rPr>
        <w:t xml:space="preserve">of Appendix 2. </w:t>
      </w:r>
      <w:r w:rsidR="005968F7">
        <w:t>This data shows that:</w:t>
      </w:r>
    </w:p>
    <w:p w14:paraId="70D46A96" w14:textId="6B63AED3" w:rsidR="00B3188D" w:rsidRDefault="005968F7" w:rsidP="00B3188D">
      <w:pPr>
        <w:pStyle w:val="ListParagraph"/>
        <w:numPr>
          <w:ilvl w:val="0"/>
          <w:numId w:val="8"/>
        </w:numPr>
        <w:spacing w:line="240" w:lineRule="auto"/>
      </w:pPr>
      <w:r>
        <w:t>T</w:t>
      </w:r>
      <w:r w:rsidR="000839A2" w:rsidRPr="00485210">
        <w:t xml:space="preserve">he mean gender pay gap has </w:t>
      </w:r>
      <w:r w:rsidR="009E5FBC">
        <w:t xml:space="preserve">decreased from </w:t>
      </w:r>
      <w:r w:rsidR="00DC2FD6">
        <w:t>7.5</w:t>
      </w:r>
      <w:r w:rsidR="0056315D">
        <w:t>%</w:t>
      </w:r>
      <w:r w:rsidR="000839A2" w:rsidRPr="00485210">
        <w:t xml:space="preserve"> in 202</w:t>
      </w:r>
      <w:r w:rsidR="00DC2FD6">
        <w:t>3</w:t>
      </w:r>
      <w:r w:rsidR="0033359A">
        <w:t xml:space="preserve"> </w:t>
      </w:r>
      <w:r w:rsidR="009E5FBC">
        <w:t xml:space="preserve">to </w:t>
      </w:r>
      <w:r w:rsidR="00DC2FD6">
        <w:t>6</w:t>
      </w:r>
      <w:r w:rsidR="008D17D3">
        <w:t>.5</w:t>
      </w:r>
      <w:r w:rsidR="009E5FBC">
        <w:t>%</w:t>
      </w:r>
      <w:r w:rsidR="00655657">
        <w:t xml:space="preserve"> in 202</w:t>
      </w:r>
      <w:r w:rsidR="00DC2FD6">
        <w:t>4</w:t>
      </w:r>
      <w:r w:rsidR="009E5FBC">
        <w:t>,</w:t>
      </w:r>
      <w:r w:rsidR="00441832">
        <w:t xml:space="preserve"> </w:t>
      </w:r>
      <w:r w:rsidR="0033359A">
        <w:t>in favour of m</w:t>
      </w:r>
      <w:r w:rsidR="001D22E2">
        <w:t>en</w:t>
      </w:r>
      <w:r w:rsidR="000839A2" w:rsidRPr="00485210">
        <w:t>.</w:t>
      </w:r>
      <w:r w:rsidR="00A53EF2">
        <w:t xml:space="preserve"> </w:t>
      </w:r>
      <w:r w:rsidR="0056315D">
        <w:t>This is positive news</w:t>
      </w:r>
      <w:r w:rsidR="009B0BEB">
        <w:t xml:space="preserve"> but f</w:t>
      </w:r>
      <w:r w:rsidR="004642FB">
        <w:t>emale employees are under-represented in the top pay quartile.</w:t>
      </w:r>
    </w:p>
    <w:p w14:paraId="255A5CEA" w14:textId="028D2CA4" w:rsidR="000839A2" w:rsidRPr="00B3188D" w:rsidRDefault="000839A2" w:rsidP="00B3188D">
      <w:pPr>
        <w:pStyle w:val="ListParagraph"/>
        <w:numPr>
          <w:ilvl w:val="0"/>
          <w:numId w:val="8"/>
        </w:numPr>
        <w:spacing w:line="240" w:lineRule="auto"/>
      </w:pPr>
      <w:r w:rsidRPr="00B3188D">
        <w:rPr>
          <w:color w:val="auto"/>
        </w:rPr>
        <w:t xml:space="preserve">The median gender pay gap has </w:t>
      </w:r>
      <w:r w:rsidR="008D17D3" w:rsidRPr="00B3188D">
        <w:rPr>
          <w:color w:val="auto"/>
        </w:rPr>
        <w:t>de</w:t>
      </w:r>
      <w:r w:rsidRPr="00B3188D">
        <w:rPr>
          <w:color w:val="auto"/>
        </w:rPr>
        <w:t xml:space="preserve">creased from </w:t>
      </w:r>
      <w:r w:rsidR="00DC2FD6">
        <w:rPr>
          <w:color w:val="auto"/>
        </w:rPr>
        <w:t>0</w:t>
      </w:r>
      <w:r w:rsidR="006D4CCF">
        <w:rPr>
          <w:color w:val="auto"/>
        </w:rPr>
        <w:t>.</w:t>
      </w:r>
      <w:r w:rsidR="00DC2FD6">
        <w:rPr>
          <w:color w:val="auto"/>
        </w:rPr>
        <w:t>7%</w:t>
      </w:r>
      <w:r w:rsidRPr="00B3188D">
        <w:rPr>
          <w:color w:val="auto"/>
        </w:rPr>
        <w:t>% in 202</w:t>
      </w:r>
      <w:r w:rsidR="00DC2FD6">
        <w:rPr>
          <w:color w:val="auto"/>
        </w:rPr>
        <w:t>3</w:t>
      </w:r>
      <w:r w:rsidR="009E5FBC" w:rsidRPr="00B3188D">
        <w:rPr>
          <w:color w:val="auto"/>
        </w:rPr>
        <w:t xml:space="preserve"> to </w:t>
      </w:r>
      <w:r w:rsidR="00DC2FD6">
        <w:t>0.0</w:t>
      </w:r>
      <w:r w:rsidR="009E5FBC">
        <w:t>% in 202</w:t>
      </w:r>
      <w:r w:rsidR="00DC2FD6">
        <w:t>4</w:t>
      </w:r>
      <w:r w:rsidR="000F0F03">
        <w:t>.</w:t>
      </w:r>
      <w:r w:rsidR="00396D8C" w:rsidRPr="00B3188D">
        <w:rPr>
          <w:color w:val="auto"/>
        </w:rPr>
        <w:t xml:space="preserve"> </w:t>
      </w:r>
    </w:p>
    <w:p w14:paraId="4045A7D0" w14:textId="685974B0" w:rsidR="000839A2" w:rsidRPr="0080185D" w:rsidRDefault="00B3188D" w:rsidP="00DA4B0B">
      <w:pPr>
        <w:pStyle w:val="ListParagraph"/>
        <w:numPr>
          <w:ilvl w:val="0"/>
          <w:numId w:val="18"/>
        </w:numPr>
        <w:spacing w:line="240" w:lineRule="auto"/>
        <w:rPr>
          <w:rFonts w:cs="Arial"/>
        </w:rPr>
      </w:pPr>
      <w:r>
        <w:rPr>
          <w:color w:val="auto"/>
        </w:rPr>
        <w:tab/>
      </w:r>
      <w:r w:rsidR="003F1228">
        <w:rPr>
          <w:color w:val="auto"/>
        </w:rPr>
        <w:t>T</w:t>
      </w:r>
      <w:r w:rsidR="0080185D">
        <w:rPr>
          <w:color w:val="auto"/>
        </w:rPr>
        <w:t>ables 2, 3</w:t>
      </w:r>
      <w:r w:rsidR="00655657">
        <w:rPr>
          <w:color w:val="auto"/>
        </w:rPr>
        <w:t>,</w:t>
      </w:r>
      <w:r w:rsidR="0080185D">
        <w:rPr>
          <w:color w:val="auto"/>
        </w:rPr>
        <w:t xml:space="preserve"> 4 and 5 of Appendix 2 </w:t>
      </w:r>
      <w:r w:rsidR="007779F0">
        <w:rPr>
          <w:color w:val="auto"/>
        </w:rPr>
        <w:t>report</w:t>
      </w:r>
      <w:r w:rsidR="003F1228">
        <w:rPr>
          <w:color w:val="auto"/>
        </w:rPr>
        <w:t xml:space="preserve"> the distribution of staff by grade, </w:t>
      </w:r>
      <w:r>
        <w:rPr>
          <w:color w:val="auto"/>
        </w:rPr>
        <w:tab/>
      </w:r>
      <w:r w:rsidR="003F1228">
        <w:rPr>
          <w:color w:val="auto"/>
        </w:rPr>
        <w:t xml:space="preserve">gender, employment type and age and show </w:t>
      </w:r>
      <w:r w:rsidR="0080185D">
        <w:rPr>
          <w:color w:val="auto"/>
        </w:rPr>
        <w:t>that:</w:t>
      </w:r>
    </w:p>
    <w:p w14:paraId="545CE9A2" w14:textId="77777777" w:rsidR="009B0BEB" w:rsidRDefault="00EC7AA5" w:rsidP="00DA4B0B">
      <w:pPr>
        <w:pStyle w:val="ListParagraph"/>
        <w:numPr>
          <w:ilvl w:val="0"/>
          <w:numId w:val="11"/>
        </w:numPr>
        <w:spacing w:line="240" w:lineRule="auto"/>
      </w:pPr>
      <w:r>
        <w:t>60</w:t>
      </w:r>
      <w:r w:rsidR="0080185D">
        <w:t>% of the Council’s work force is female</w:t>
      </w:r>
      <w:r w:rsidR="00C6789F">
        <w:t>.</w:t>
      </w:r>
      <w:r w:rsidR="0080185D">
        <w:t xml:space="preserve"> </w:t>
      </w:r>
    </w:p>
    <w:p w14:paraId="22FB676D" w14:textId="77777777" w:rsidR="00C10A37" w:rsidRDefault="00B14C32" w:rsidP="00DA4B0B">
      <w:pPr>
        <w:pStyle w:val="ListParagraph"/>
        <w:numPr>
          <w:ilvl w:val="0"/>
          <w:numId w:val="11"/>
        </w:numPr>
        <w:spacing w:line="240" w:lineRule="auto"/>
      </w:pPr>
      <w:r>
        <w:t>34</w:t>
      </w:r>
      <w:r w:rsidR="0080185D" w:rsidRPr="009E5FBC">
        <w:t xml:space="preserve">% of </w:t>
      </w:r>
      <w:r w:rsidR="0060683C">
        <w:t>females</w:t>
      </w:r>
      <w:r w:rsidR="0080185D" w:rsidRPr="009E5FBC">
        <w:t xml:space="preserve"> work on a part-time basis, compared to </w:t>
      </w:r>
      <w:r w:rsidR="00391D91">
        <w:t>10</w:t>
      </w:r>
      <w:r w:rsidR="0080185D" w:rsidRPr="009E5FBC">
        <w:t xml:space="preserve">% of </w:t>
      </w:r>
      <w:r w:rsidR="0060683C">
        <w:t xml:space="preserve">all </w:t>
      </w:r>
      <w:r w:rsidR="0080185D" w:rsidRPr="009E5FBC">
        <w:t>male staff</w:t>
      </w:r>
      <w:r w:rsidR="004750B4">
        <w:t>.</w:t>
      </w:r>
      <w:r w:rsidR="00325749">
        <w:t xml:space="preserve"> </w:t>
      </w:r>
    </w:p>
    <w:p w14:paraId="4B439CB2" w14:textId="296A38C6" w:rsidR="0080185D" w:rsidRDefault="00325749" w:rsidP="00C10A37">
      <w:pPr>
        <w:spacing w:line="240" w:lineRule="auto"/>
        <w:rPr>
          <w:rFonts w:eastAsiaTheme="minorHAnsi" w:cs="Arial"/>
          <w:color w:val="auto"/>
          <w:lang w:eastAsia="en-US"/>
        </w:rPr>
      </w:pPr>
      <w:r w:rsidRPr="00C10A37">
        <w:rPr>
          <w:rFonts w:eastAsiaTheme="minorHAnsi" w:cs="Arial"/>
          <w:color w:val="auto"/>
          <w:lang w:eastAsia="en-US"/>
        </w:rPr>
        <w:t>The high number of part</w:t>
      </w:r>
      <w:r w:rsidR="004750B4" w:rsidRPr="00C10A37">
        <w:rPr>
          <w:rFonts w:eastAsiaTheme="minorHAnsi" w:cs="Arial"/>
          <w:color w:val="auto"/>
          <w:lang w:eastAsia="en-US"/>
        </w:rPr>
        <w:t>-</w:t>
      </w:r>
      <w:r w:rsidRPr="00C10A37">
        <w:rPr>
          <w:rFonts w:eastAsiaTheme="minorHAnsi" w:cs="Arial"/>
          <w:color w:val="auto"/>
          <w:lang w:eastAsia="en-US"/>
        </w:rPr>
        <w:t xml:space="preserve">time females </w:t>
      </w:r>
      <w:r w:rsidR="00030123" w:rsidRPr="00C10A37">
        <w:rPr>
          <w:rFonts w:eastAsiaTheme="minorHAnsi" w:cs="Arial"/>
          <w:color w:val="auto"/>
          <w:lang w:eastAsia="en-US"/>
        </w:rPr>
        <w:t>contribut</w:t>
      </w:r>
      <w:r w:rsidR="00DA05EF" w:rsidRPr="00C10A37">
        <w:rPr>
          <w:rFonts w:eastAsiaTheme="minorHAnsi" w:cs="Arial"/>
          <w:color w:val="auto"/>
          <w:lang w:eastAsia="en-US"/>
        </w:rPr>
        <w:t>es</w:t>
      </w:r>
      <w:r w:rsidRPr="00C10A37">
        <w:rPr>
          <w:rFonts w:eastAsiaTheme="minorHAnsi" w:cs="Arial"/>
          <w:color w:val="auto"/>
          <w:lang w:eastAsia="en-US"/>
        </w:rPr>
        <w:t xml:space="preserve"> </w:t>
      </w:r>
      <w:r w:rsidR="004750B4" w:rsidRPr="00C10A37">
        <w:rPr>
          <w:rFonts w:eastAsiaTheme="minorHAnsi" w:cs="Arial"/>
          <w:color w:val="auto"/>
          <w:lang w:eastAsia="en-US"/>
        </w:rPr>
        <w:t>to</w:t>
      </w:r>
      <w:r w:rsidRPr="00C10A37">
        <w:rPr>
          <w:rFonts w:eastAsiaTheme="minorHAnsi" w:cs="Arial"/>
          <w:color w:val="auto"/>
          <w:lang w:eastAsia="en-US"/>
        </w:rPr>
        <w:t xml:space="preserve"> the Council’s</w:t>
      </w:r>
      <w:r w:rsidR="00154AD2" w:rsidRPr="00C10A37">
        <w:rPr>
          <w:rFonts w:eastAsiaTheme="minorHAnsi" w:cs="Arial"/>
          <w:color w:val="auto"/>
          <w:lang w:eastAsia="en-US"/>
        </w:rPr>
        <w:t xml:space="preserve"> mean</w:t>
      </w:r>
      <w:r w:rsidRPr="00C10A37">
        <w:rPr>
          <w:rFonts w:eastAsiaTheme="minorHAnsi" w:cs="Arial"/>
          <w:color w:val="auto"/>
          <w:lang w:eastAsia="en-US"/>
        </w:rPr>
        <w:t xml:space="preserve"> gender pay gap</w:t>
      </w:r>
      <w:r w:rsidR="00465B83" w:rsidRPr="00C10A37">
        <w:rPr>
          <w:rFonts w:eastAsiaTheme="minorHAnsi" w:cs="Arial"/>
          <w:color w:val="auto"/>
          <w:lang w:eastAsia="en-US"/>
        </w:rPr>
        <w:t xml:space="preserve"> as</w:t>
      </w:r>
      <w:r w:rsidRPr="00C10A37">
        <w:rPr>
          <w:rFonts w:eastAsiaTheme="minorHAnsi" w:cs="Arial"/>
          <w:color w:val="auto"/>
          <w:lang w:eastAsia="en-US"/>
        </w:rPr>
        <w:t xml:space="preserve"> </w:t>
      </w:r>
      <w:r w:rsidR="00C11889" w:rsidRPr="00C10A37">
        <w:rPr>
          <w:rFonts w:eastAsiaTheme="minorHAnsi" w:cs="Arial"/>
          <w:color w:val="auto"/>
          <w:lang w:eastAsia="en-US"/>
        </w:rPr>
        <w:t xml:space="preserve">a greater proportion </w:t>
      </w:r>
      <w:r w:rsidR="00AF309A" w:rsidRPr="00C10A37">
        <w:rPr>
          <w:rFonts w:eastAsiaTheme="minorHAnsi" w:cs="Arial"/>
          <w:color w:val="auto"/>
          <w:lang w:eastAsia="en-US"/>
        </w:rPr>
        <w:t xml:space="preserve">of </w:t>
      </w:r>
      <w:r w:rsidRPr="00C10A37">
        <w:rPr>
          <w:rFonts w:eastAsiaTheme="minorHAnsi" w:cs="Arial"/>
          <w:color w:val="auto"/>
          <w:lang w:eastAsia="en-US"/>
        </w:rPr>
        <w:t xml:space="preserve">females </w:t>
      </w:r>
      <w:r w:rsidR="00C6789F" w:rsidRPr="00C10A37">
        <w:rPr>
          <w:rFonts w:eastAsiaTheme="minorHAnsi" w:cs="Arial"/>
          <w:color w:val="auto"/>
          <w:lang w:eastAsia="en-US"/>
        </w:rPr>
        <w:t xml:space="preserve">working part time </w:t>
      </w:r>
      <w:r w:rsidRPr="00C10A37">
        <w:rPr>
          <w:rFonts w:eastAsiaTheme="minorHAnsi" w:cs="Arial"/>
          <w:color w:val="auto"/>
          <w:lang w:eastAsia="en-US"/>
        </w:rPr>
        <w:t xml:space="preserve">are </w:t>
      </w:r>
      <w:r w:rsidR="00A821E0" w:rsidRPr="00C10A37">
        <w:rPr>
          <w:rFonts w:eastAsiaTheme="minorHAnsi" w:cs="Arial"/>
          <w:color w:val="auto"/>
          <w:lang w:eastAsia="en-US"/>
        </w:rPr>
        <w:t>paid at</w:t>
      </w:r>
      <w:r w:rsidRPr="00C10A37">
        <w:rPr>
          <w:rFonts w:eastAsiaTheme="minorHAnsi" w:cs="Arial"/>
          <w:color w:val="auto"/>
          <w:lang w:eastAsia="en-US"/>
        </w:rPr>
        <w:t xml:space="preserve"> lower grades</w:t>
      </w:r>
      <w:r w:rsidR="00DA05EF" w:rsidRPr="00C10A37">
        <w:rPr>
          <w:rFonts w:eastAsiaTheme="minorHAnsi" w:cs="Arial"/>
          <w:color w:val="auto"/>
          <w:lang w:eastAsia="en-US"/>
        </w:rPr>
        <w:t>:</w:t>
      </w:r>
      <w:r w:rsidR="00EA4F83" w:rsidRPr="00C10A37">
        <w:rPr>
          <w:rFonts w:eastAsiaTheme="minorHAnsi" w:cs="Arial"/>
          <w:color w:val="auto"/>
          <w:lang w:eastAsia="en-US"/>
        </w:rPr>
        <w:t xml:space="preserve"> </w:t>
      </w:r>
      <w:r w:rsidR="00A14DDE" w:rsidRPr="00C10A37">
        <w:rPr>
          <w:rFonts w:eastAsiaTheme="minorHAnsi" w:cs="Arial"/>
          <w:color w:val="auto"/>
          <w:lang w:eastAsia="en-US"/>
        </w:rPr>
        <w:t xml:space="preserve">38% are paid at </w:t>
      </w:r>
      <w:r w:rsidR="00DA05EF" w:rsidRPr="00C10A37">
        <w:rPr>
          <w:rFonts w:eastAsiaTheme="minorHAnsi" w:cs="Arial"/>
          <w:color w:val="auto"/>
          <w:lang w:eastAsia="en-US"/>
        </w:rPr>
        <w:t>grades 5 and 6</w:t>
      </w:r>
      <w:r w:rsidR="00E71274">
        <w:rPr>
          <w:rFonts w:eastAsiaTheme="minorHAnsi" w:cs="Arial"/>
          <w:color w:val="auto"/>
          <w:lang w:eastAsia="en-US"/>
        </w:rPr>
        <w:t xml:space="preserve"> whilst</w:t>
      </w:r>
      <w:r w:rsidR="00A821E0" w:rsidRPr="00C10A37">
        <w:rPr>
          <w:rFonts w:eastAsiaTheme="minorHAnsi" w:cs="Arial"/>
          <w:color w:val="auto"/>
          <w:lang w:eastAsia="en-US"/>
        </w:rPr>
        <w:t xml:space="preserve"> </w:t>
      </w:r>
      <w:r w:rsidR="003C5B0D" w:rsidRPr="00C10A37">
        <w:rPr>
          <w:rFonts w:eastAsiaTheme="minorHAnsi" w:cs="Arial"/>
          <w:color w:val="auto"/>
          <w:lang w:eastAsia="en-US"/>
        </w:rPr>
        <w:t>30%</w:t>
      </w:r>
      <w:r w:rsidR="00DE7C8B" w:rsidRPr="00C10A37">
        <w:rPr>
          <w:rFonts w:eastAsiaTheme="minorHAnsi" w:cs="Arial"/>
          <w:color w:val="auto"/>
          <w:lang w:eastAsia="en-US"/>
        </w:rPr>
        <w:t xml:space="preserve"> of part-time males are paid at grade 8.</w:t>
      </w:r>
      <w:r w:rsidRPr="00C10A37">
        <w:rPr>
          <w:rFonts w:eastAsiaTheme="minorHAnsi" w:cs="Arial"/>
          <w:color w:val="auto"/>
          <w:lang w:eastAsia="en-US"/>
        </w:rPr>
        <w:t xml:space="preserve">  </w:t>
      </w:r>
    </w:p>
    <w:p w14:paraId="1163215B" w14:textId="77777777" w:rsidR="00C10A37" w:rsidRDefault="00C10A37" w:rsidP="00C10A37">
      <w:pPr>
        <w:spacing w:line="240" w:lineRule="auto"/>
      </w:pPr>
    </w:p>
    <w:p w14:paraId="3CB84F80" w14:textId="642F173D" w:rsidR="007779F0" w:rsidRPr="001C2C1F" w:rsidRDefault="00A57346" w:rsidP="00DA4B0B">
      <w:pPr>
        <w:pStyle w:val="ListParagraph"/>
        <w:numPr>
          <w:ilvl w:val="0"/>
          <w:numId w:val="18"/>
        </w:numPr>
        <w:spacing w:after="160"/>
        <w:rPr>
          <w:rFonts w:eastAsiaTheme="minorHAnsi" w:cs="Arial"/>
          <w:color w:val="auto"/>
          <w:lang w:eastAsia="en-US"/>
        </w:rPr>
      </w:pPr>
      <w:r>
        <w:lastRenderedPageBreak/>
        <w:t xml:space="preserve"> </w:t>
      </w:r>
      <w:r w:rsidR="00325749" w:rsidRPr="000A603E">
        <w:t xml:space="preserve">The Office for National Statistics </w:t>
      </w:r>
      <w:r w:rsidR="000415C3" w:rsidRPr="000A603E">
        <w:t xml:space="preserve">(ONS) </w:t>
      </w:r>
      <w:r w:rsidR="00325749" w:rsidRPr="000A603E">
        <w:t xml:space="preserve">reports annually on the national gender pay gap. The report is from data in the Annual Survey of Hours and Earnings (ASHE) which is based on a 1% sample of jobs from HM Revenue and Customs Pay as You Earn records. </w:t>
      </w:r>
      <w:r w:rsidR="000415C3" w:rsidRPr="000A603E">
        <w:t>The ONS has</w:t>
      </w:r>
      <w:r w:rsidR="00325749" w:rsidRPr="000A603E">
        <w:t xml:space="preserve"> summarised the main points from the statistics</w:t>
      </w:r>
      <w:r w:rsidR="007779F0" w:rsidRPr="000A603E">
        <w:t xml:space="preserve"> as follows:</w:t>
      </w:r>
    </w:p>
    <w:p w14:paraId="05CEC070" w14:textId="60780A4D" w:rsidR="007779F0" w:rsidRPr="000A603E" w:rsidRDefault="006F2D44" w:rsidP="00DA4B0B">
      <w:pPr>
        <w:pStyle w:val="ListParagraph"/>
        <w:numPr>
          <w:ilvl w:val="0"/>
          <w:numId w:val="9"/>
        </w:numPr>
        <w:spacing w:after="160"/>
        <w:rPr>
          <w:rFonts w:eastAsiaTheme="minorHAnsi" w:cs="Arial"/>
          <w:color w:val="auto"/>
          <w:lang w:eastAsia="en-US"/>
        </w:rPr>
      </w:pPr>
      <w:r>
        <w:t xml:space="preserve">The </w:t>
      </w:r>
      <w:r w:rsidR="003B26B6">
        <w:t xml:space="preserve">national </w:t>
      </w:r>
      <w:r>
        <w:t xml:space="preserve">gender pay gap has been declining slowly over time, falling </w:t>
      </w:r>
      <w:r w:rsidR="000F0FE8">
        <w:t xml:space="preserve">by a quarter for full-time employees over the last decade. </w:t>
      </w:r>
      <w:r w:rsidR="00A852AE">
        <w:t>In April 2024 it was 7%.</w:t>
      </w:r>
    </w:p>
    <w:p w14:paraId="67B9417B" w14:textId="219B4204" w:rsidR="007779F0" w:rsidRPr="000A603E" w:rsidRDefault="00325749" w:rsidP="00DA4B0B">
      <w:pPr>
        <w:pStyle w:val="ListParagraph"/>
        <w:numPr>
          <w:ilvl w:val="0"/>
          <w:numId w:val="9"/>
        </w:numPr>
        <w:spacing w:after="160"/>
        <w:rPr>
          <w:rFonts w:eastAsiaTheme="minorHAnsi" w:cs="Arial"/>
          <w:color w:val="auto"/>
          <w:lang w:eastAsia="en-US"/>
        </w:rPr>
      </w:pPr>
      <w:r w:rsidRPr="000A603E">
        <w:t xml:space="preserve">The </w:t>
      </w:r>
      <w:r w:rsidR="00625077">
        <w:t xml:space="preserve">gender pay gap is larger </w:t>
      </w:r>
      <w:r w:rsidR="005835A6">
        <w:t>for those aged over 40 years.</w:t>
      </w:r>
    </w:p>
    <w:p w14:paraId="4911FFBF" w14:textId="33D0A538" w:rsidR="007779F0" w:rsidRPr="000A603E" w:rsidRDefault="00C94F25" w:rsidP="00DA4B0B">
      <w:pPr>
        <w:pStyle w:val="ListParagraph"/>
        <w:numPr>
          <w:ilvl w:val="0"/>
          <w:numId w:val="9"/>
        </w:numPr>
        <w:spacing w:after="160"/>
        <w:rPr>
          <w:rFonts w:eastAsiaTheme="minorHAnsi" w:cs="Arial"/>
          <w:color w:val="auto"/>
          <w:lang w:eastAsia="en-US"/>
        </w:rPr>
      </w:pPr>
      <w:r w:rsidRPr="000A603E">
        <w:t>T</w:t>
      </w:r>
      <w:r w:rsidR="00325749" w:rsidRPr="000A603E">
        <w:t xml:space="preserve">he </w:t>
      </w:r>
      <w:r w:rsidRPr="000A603E">
        <w:t xml:space="preserve">gender pay </w:t>
      </w:r>
      <w:r w:rsidR="00325749" w:rsidRPr="000A603E">
        <w:t xml:space="preserve">gap </w:t>
      </w:r>
      <w:r w:rsidR="005835A6">
        <w:t>is higher among higher-paid workers.</w:t>
      </w:r>
    </w:p>
    <w:p w14:paraId="7D66E849" w14:textId="48593CF5" w:rsidR="00996DDE" w:rsidRPr="00D7638E" w:rsidRDefault="005835A6" w:rsidP="00DA4B0B">
      <w:pPr>
        <w:pStyle w:val="ListParagraph"/>
        <w:numPr>
          <w:ilvl w:val="0"/>
          <w:numId w:val="9"/>
        </w:numPr>
        <w:spacing w:after="160"/>
        <w:rPr>
          <w:rFonts w:eastAsiaTheme="minorHAnsi" w:cs="Arial"/>
          <w:color w:val="auto"/>
          <w:lang w:eastAsia="en-US"/>
        </w:rPr>
      </w:pPr>
      <w:r>
        <w:t xml:space="preserve">The pay gap is higher </w:t>
      </w:r>
      <w:r w:rsidR="004E625D">
        <w:t xml:space="preserve">in skilled trades and occupations and lower </w:t>
      </w:r>
      <w:r w:rsidR="00355962">
        <w:t>in</w:t>
      </w:r>
      <w:r w:rsidR="00192B30">
        <w:t xml:space="preserve"> </w:t>
      </w:r>
      <w:r w:rsidR="00355962">
        <w:t>service</w:t>
      </w:r>
      <w:r w:rsidR="00185605">
        <w:t xml:space="preserve"> occupations such as care</w:t>
      </w:r>
      <w:r w:rsidR="009071F6">
        <w:t xml:space="preserve"> and</w:t>
      </w:r>
      <w:r w:rsidR="00185605">
        <w:t xml:space="preserve"> leisure</w:t>
      </w:r>
      <w:r w:rsidR="009071F6">
        <w:t xml:space="preserve">. </w:t>
      </w:r>
    </w:p>
    <w:p w14:paraId="0C9476D2" w14:textId="03E7550A" w:rsidR="008576EE" w:rsidRPr="004A290B" w:rsidRDefault="002E661E" w:rsidP="00400880">
      <w:pPr>
        <w:pStyle w:val="ListParagraph"/>
        <w:numPr>
          <w:ilvl w:val="0"/>
          <w:numId w:val="18"/>
        </w:numPr>
        <w:spacing w:after="160"/>
        <w:rPr>
          <w:rFonts w:eastAsiaTheme="minorEastAsia" w:cs="Arial"/>
          <w:color w:val="auto"/>
          <w:lang w:eastAsia="en-US"/>
        </w:rPr>
      </w:pPr>
      <w:r w:rsidRPr="726E49C3">
        <w:rPr>
          <w:rFonts w:eastAsiaTheme="minorEastAsia" w:cs="Arial"/>
          <w:color w:val="auto"/>
          <w:lang w:eastAsia="en-US"/>
        </w:rPr>
        <w:t xml:space="preserve"> </w:t>
      </w:r>
      <w:r w:rsidR="00571C5B" w:rsidRPr="726E49C3">
        <w:rPr>
          <w:rFonts w:eastAsiaTheme="minorEastAsia" w:cs="Arial"/>
          <w:color w:val="auto"/>
          <w:lang w:eastAsia="en-US"/>
        </w:rPr>
        <w:t>Nationally</w:t>
      </w:r>
      <w:r w:rsidRPr="726E49C3">
        <w:rPr>
          <w:rFonts w:eastAsiaTheme="minorEastAsia" w:cs="Arial"/>
          <w:color w:val="auto"/>
          <w:lang w:eastAsia="en-US"/>
        </w:rPr>
        <w:t>,</w:t>
      </w:r>
      <w:r w:rsidR="00571C5B" w:rsidRPr="726E49C3">
        <w:rPr>
          <w:rFonts w:eastAsiaTheme="minorEastAsia" w:cs="Arial"/>
          <w:color w:val="auto"/>
          <w:lang w:eastAsia="en-US"/>
        </w:rPr>
        <w:t xml:space="preserve"> the gender pay gap is higher for all employees than it is for full time or part-time employees. This is because women fill more part time jobs which have a lower hourly median pay compared to full time roles.</w:t>
      </w:r>
    </w:p>
    <w:p w14:paraId="369F0E30" w14:textId="3C3D4A5C" w:rsidR="000839A2" w:rsidRPr="00A81C93" w:rsidRDefault="00A63B9A" w:rsidP="00DA4B0B">
      <w:pPr>
        <w:pStyle w:val="ListParagraph"/>
        <w:numPr>
          <w:ilvl w:val="0"/>
          <w:numId w:val="18"/>
        </w:numPr>
        <w:spacing w:after="160"/>
        <w:rPr>
          <w:rFonts w:eastAsiaTheme="minorHAnsi" w:cs="Arial"/>
          <w:color w:val="auto"/>
          <w:lang w:eastAsia="en-US"/>
        </w:rPr>
      </w:pPr>
      <w:r>
        <w:rPr>
          <w:rFonts w:eastAsiaTheme="minorHAnsi" w:cs="Arial"/>
          <w:color w:val="auto"/>
          <w:lang w:eastAsia="en-US"/>
        </w:rPr>
        <w:t xml:space="preserve"> </w:t>
      </w:r>
      <w:r w:rsidR="007779F0" w:rsidRPr="00262C6A">
        <w:rPr>
          <w:rFonts w:eastAsiaTheme="minorHAnsi" w:cs="Arial"/>
          <w:color w:val="auto"/>
          <w:lang w:eastAsia="en-US"/>
        </w:rPr>
        <w:t>T</w:t>
      </w:r>
      <w:r w:rsidR="000839A2" w:rsidRPr="00262C6A">
        <w:rPr>
          <w:rFonts w:eastAsiaTheme="minorHAnsi" w:cs="Arial"/>
          <w:color w:val="auto"/>
          <w:lang w:eastAsia="en-US"/>
        </w:rPr>
        <w:t xml:space="preserve">he table below </w:t>
      </w:r>
      <w:r w:rsidR="007779F0" w:rsidRPr="00262C6A">
        <w:rPr>
          <w:rFonts w:eastAsiaTheme="minorHAnsi" w:cs="Arial"/>
          <w:color w:val="auto"/>
          <w:lang w:eastAsia="en-US"/>
        </w:rPr>
        <w:t xml:space="preserve">shows </w:t>
      </w:r>
      <w:r w:rsidR="000839A2" w:rsidRPr="00262C6A">
        <w:rPr>
          <w:rFonts w:eastAsiaTheme="minorHAnsi" w:cs="Arial"/>
          <w:color w:val="auto"/>
          <w:lang w:eastAsia="en-US"/>
        </w:rPr>
        <w:t>the Council’s mean hourly rate of pay for part time female</w:t>
      </w:r>
      <w:r w:rsidR="000839A2" w:rsidRPr="00A81C93">
        <w:rPr>
          <w:rFonts w:eastAsiaTheme="minorHAnsi" w:cs="Arial"/>
          <w:color w:val="auto"/>
          <w:lang w:eastAsia="en-US"/>
        </w:rPr>
        <w:t xml:space="preserve"> staff is</w:t>
      </w:r>
      <w:r w:rsidR="00A81C93" w:rsidRPr="00A81C93">
        <w:rPr>
          <w:rFonts w:eastAsiaTheme="minorHAnsi" w:cs="Arial"/>
          <w:color w:val="auto"/>
          <w:lang w:eastAsia="en-US"/>
        </w:rPr>
        <w:t xml:space="preserve"> £</w:t>
      </w:r>
      <w:r w:rsidR="00B27588">
        <w:rPr>
          <w:rFonts w:eastAsiaTheme="minorHAnsi" w:cs="Arial"/>
          <w:color w:val="auto"/>
          <w:lang w:eastAsia="en-US"/>
        </w:rPr>
        <w:t>1</w:t>
      </w:r>
      <w:r w:rsidR="0060683C">
        <w:rPr>
          <w:rFonts w:eastAsiaTheme="minorHAnsi" w:cs="Arial"/>
          <w:color w:val="auto"/>
          <w:lang w:eastAsia="en-US"/>
        </w:rPr>
        <w:t>8.</w:t>
      </w:r>
      <w:r w:rsidR="009C41EA">
        <w:rPr>
          <w:rFonts w:eastAsiaTheme="minorHAnsi" w:cs="Arial"/>
          <w:color w:val="auto"/>
          <w:lang w:eastAsia="en-US"/>
        </w:rPr>
        <w:t>67</w:t>
      </w:r>
      <w:r w:rsidR="00A81C93" w:rsidRPr="00A81C93">
        <w:rPr>
          <w:rFonts w:eastAsiaTheme="minorHAnsi" w:cs="Arial"/>
          <w:color w:val="auto"/>
          <w:lang w:eastAsia="en-US"/>
        </w:rPr>
        <w:t xml:space="preserve"> </w:t>
      </w:r>
      <w:r w:rsidR="000839A2" w:rsidRPr="00A81C93">
        <w:rPr>
          <w:rFonts w:eastAsiaTheme="minorHAnsi" w:cs="Arial"/>
          <w:color w:val="auto"/>
          <w:lang w:eastAsia="en-US"/>
        </w:rPr>
        <w:t xml:space="preserve">and the median rate is </w:t>
      </w:r>
      <w:r w:rsidR="00A81C93" w:rsidRPr="00A81C93">
        <w:rPr>
          <w:rFonts w:eastAsiaTheme="minorHAnsi" w:cs="Arial"/>
          <w:color w:val="auto"/>
          <w:lang w:eastAsia="en-US"/>
        </w:rPr>
        <w:t>£</w:t>
      </w:r>
      <w:r w:rsidR="0060683C">
        <w:rPr>
          <w:rFonts w:eastAsiaTheme="minorHAnsi" w:cs="Arial"/>
          <w:color w:val="auto"/>
          <w:lang w:eastAsia="en-US"/>
        </w:rPr>
        <w:t>1</w:t>
      </w:r>
      <w:r w:rsidR="00262C6A">
        <w:rPr>
          <w:rFonts w:eastAsiaTheme="minorHAnsi" w:cs="Arial"/>
          <w:color w:val="auto"/>
          <w:lang w:eastAsia="en-US"/>
        </w:rPr>
        <w:t>7.36</w:t>
      </w:r>
      <w:r w:rsidR="004A290B">
        <w:rPr>
          <w:rFonts w:eastAsiaTheme="minorHAnsi" w:cs="Arial"/>
          <w:color w:val="auto"/>
          <w:lang w:eastAsia="en-US"/>
        </w:rPr>
        <w:t>.</w:t>
      </w:r>
      <w:r w:rsidR="000839A2" w:rsidRPr="00A81C93">
        <w:rPr>
          <w:rFonts w:eastAsiaTheme="minorHAnsi" w:cs="Arial"/>
          <w:color w:val="auto"/>
          <w:lang w:eastAsia="en-US"/>
        </w:rPr>
        <w:t xml:space="preserve"> </w:t>
      </w:r>
      <w:r w:rsidR="000E0DBA">
        <w:rPr>
          <w:rFonts w:eastAsiaTheme="minorHAnsi" w:cs="Arial"/>
          <w:color w:val="auto"/>
          <w:lang w:eastAsia="en-US"/>
        </w:rPr>
        <w:t>Part-time workers are, on average, paid at lower rates of pay because they tend to occupy lower-level roles.</w:t>
      </w:r>
      <w:r w:rsidR="006C3784">
        <w:rPr>
          <w:rFonts w:eastAsiaTheme="minorHAnsi" w:cs="Arial"/>
          <w:color w:val="auto"/>
          <w:lang w:eastAsia="en-US"/>
        </w:rPr>
        <w:t xml:space="preserve"> There is only a small difference </w:t>
      </w:r>
      <w:r w:rsidR="00775968">
        <w:rPr>
          <w:rFonts w:eastAsiaTheme="minorHAnsi" w:cs="Arial"/>
          <w:color w:val="auto"/>
          <w:lang w:eastAsia="en-US"/>
        </w:rPr>
        <w:t>in</w:t>
      </w:r>
      <w:r w:rsidR="006C3784">
        <w:rPr>
          <w:rFonts w:eastAsiaTheme="minorHAnsi" w:cs="Arial"/>
          <w:color w:val="auto"/>
          <w:lang w:eastAsia="en-US"/>
        </w:rPr>
        <w:t xml:space="preserve"> the mean </w:t>
      </w:r>
      <w:r w:rsidR="00775968">
        <w:rPr>
          <w:rFonts w:eastAsiaTheme="minorHAnsi" w:cs="Arial"/>
          <w:color w:val="auto"/>
          <w:lang w:eastAsia="en-US"/>
        </w:rPr>
        <w:t xml:space="preserve">pay </w:t>
      </w:r>
      <w:r w:rsidR="006C3784">
        <w:rPr>
          <w:rFonts w:eastAsiaTheme="minorHAnsi" w:cs="Arial"/>
          <w:color w:val="auto"/>
          <w:lang w:eastAsia="en-US"/>
        </w:rPr>
        <w:t>rate between part</w:t>
      </w:r>
      <w:r w:rsidR="00775968">
        <w:rPr>
          <w:rFonts w:eastAsiaTheme="minorHAnsi" w:cs="Arial"/>
          <w:color w:val="auto"/>
          <w:lang w:eastAsia="en-US"/>
        </w:rPr>
        <w:t>-</w:t>
      </w:r>
      <w:r w:rsidR="006C3784">
        <w:rPr>
          <w:rFonts w:eastAsiaTheme="minorHAnsi" w:cs="Arial"/>
          <w:color w:val="auto"/>
          <w:lang w:eastAsia="en-US"/>
        </w:rPr>
        <w:t>time men and women</w:t>
      </w:r>
      <w:r w:rsidR="00E66BF3">
        <w:rPr>
          <w:rFonts w:eastAsiaTheme="minorHAnsi" w:cs="Arial"/>
          <w:color w:val="auto"/>
          <w:lang w:eastAsia="en-US"/>
        </w:rPr>
        <w:t xml:space="preserve"> but 83% of part-time employees are female.</w:t>
      </w:r>
    </w:p>
    <w:tbl>
      <w:tblPr>
        <w:tblStyle w:val="TableGrid"/>
        <w:tblW w:w="0" w:type="auto"/>
        <w:tblInd w:w="421" w:type="dxa"/>
        <w:tblLook w:val="04A0" w:firstRow="1" w:lastRow="0" w:firstColumn="1" w:lastColumn="0" w:noHBand="0" w:noVBand="1"/>
      </w:tblPr>
      <w:tblGrid>
        <w:gridCol w:w="1677"/>
        <w:gridCol w:w="1164"/>
        <w:gridCol w:w="1553"/>
        <w:gridCol w:w="2242"/>
        <w:gridCol w:w="2231"/>
      </w:tblGrid>
      <w:tr w:rsidR="000839A2" w:rsidRPr="009B3E93" w14:paraId="36DA3EC3" w14:textId="77777777" w:rsidTr="008D29EF">
        <w:tc>
          <w:tcPr>
            <w:tcW w:w="1677" w:type="dxa"/>
            <w:tcBorders>
              <w:bottom w:val="single" w:sz="4" w:space="0" w:color="auto"/>
            </w:tcBorders>
            <w:shd w:val="clear" w:color="auto" w:fill="auto"/>
          </w:tcPr>
          <w:p w14:paraId="0EF00E40" w14:textId="77777777" w:rsidR="000839A2" w:rsidRPr="008D29EF" w:rsidRDefault="000839A2" w:rsidP="005968F7">
            <w:pPr>
              <w:spacing w:after="0"/>
              <w:rPr>
                <w:rFonts w:eastAsiaTheme="minorHAnsi" w:cs="Arial"/>
                <w:b/>
                <w:color w:val="auto"/>
                <w:lang w:eastAsia="en-US"/>
              </w:rPr>
            </w:pPr>
            <w:r w:rsidRPr="008D29EF">
              <w:rPr>
                <w:rFonts w:eastAsiaTheme="minorHAnsi" w:cs="Arial"/>
                <w:b/>
                <w:color w:val="auto"/>
                <w:lang w:eastAsia="en-US"/>
              </w:rPr>
              <w:t>Employment</w:t>
            </w:r>
          </w:p>
        </w:tc>
        <w:tc>
          <w:tcPr>
            <w:tcW w:w="1164" w:type="dxa"/>
            <w:tcBorders>
              <w:bottom w:val="single" w:sz="4" w:space="0" w:color="auto"/>
            </w:tcBorders>
            <w:shd w:val="clear" w:color="auto" w:fill="auto"/>
          </w:tcPr>
          <w:p w14:paraId="2A5F5351" w14:textId="77777777" w:rsidR="000839A2" w:rsidRPr="008D29EF" w:rsidRDefault="000839A2" w:rsidP="005968F7">
            <w:pPr>
              <w:spacing w:after="0"/>
              <w:rPr>
                <w:rFonts w:eastAsiaTheme="minorHAnsi" w:cs="Arial"/>
                <w:b/>
                <w:color w:val="auto"/>
                <w:lang w:eastAsia="en-US"/>
              </w:rPr>
            </w:pPr>
            <w:r w:rsidRPr="008D29EF">
              <w:rPr>
                <w:rFonts w:eastAsiaTheme="minorHAnsi" w:cs="Arial"/>
                <w:b/>
                <w:color w:val="auto"/>
                <w:lang w:eastAsia="en-US"/>
              </w:rPr>
              <w:t>Average</w:t>
            </w:r>
          </w:p>
        </w:tc>
        <w:tc>
          <w:tcPr>
            <w:tcW w:w="1553" w:type="dxa"/>
            <w:tcBorders>
              <w:bottom w:val="single" w:sz="4" w:space="0" w:color="auto"/>
            </w:tcBorders>
            <w:shd w:val="clear" w:color="auto" w:fill="auto"/>
          </w:tcPr>
          <w:p w14:paraId="260C0865" w14:textId="77777777" w:rsidR="000839A2" w:rsidRPr="008D29EF" w:rsidRDefault="000839A2" w:rsidP="005968F7">
            <w:pPr>
              <w:spacing w:after="0"/>
              <w:rPr>
                <w:rFonts w:eastAsiaTheme="minorHAnsi" w:cs="Arial"/>
                <w:b/>
                <w:color w:val="auto"/>
                <w:lang w:eastAsia="en-US"/>
              </w:rPr>
            </w:pPr>
            <w:r w:rsidRPr="008D29EF">
              <w:rPr>
                <w:rFonts w:eastAsiaTheme="minorHAnsi" w:cs="Arial"/>
                <w:b/>
                <w:color w:val="auto"/>
                <w:lang w:eastAsia="en-US"/>
              </w:rPr>
              <w:t>Pay Gap</w:t>
            </w:r>
          </w:p>
        </w:tc>
        <w:tc>
          <w:tcPr>
            <w:tcW w:w="2242" w:type="dxa"/>
            <w:tcBorders>
              <w:bottom w:val="single" w:sz="4" w:space="0" w:color="auto"/>
            </w:tcBorders>
            <w:shd w:val="clear" w:color="auto" w:fill="auto"/>
          </w:tcPr>
          <w:p w14:paraId="36AAC67C" w14:textId="77777777" w:rsidR="000839A2" w:rsidRPr="008D29EF" w:rsidRDefault="000839A2" w:rsidP="005968F7">
            <w:pPr>
              <w:spacing w:after="0"/>
              <w:rPr>
                <w:rFonts w:eastAsiaTheme="minorHAnsi" w:cs="Arial"/>
                <w:b/>
                <w:color w:val="auto"/>
                <w:lang w:eastAsia="en-US"/>
              </w:rPr>
            </w:pPr>
            <w:r w:rsidRPr="008D29EF">
              <w:rPr>
                <w:rFonts w:eastAsiaTheme="minorHAnsi" w:cs="Arial"/>
                <w:b/>
                <w:color w:val="auto"/>
                <w:lang w:eastAsia="en-US"/>
              </w:rPr>
              <w:t xml:space="preserve">Average Female Salary </w:t>
            </w:r>
          </w:p>
          <w:p w14:paraId="508D5AF0" w14:textId="77777777" w:rsidR="000839A2" w:rsidRPr="008D29EF" w:rsidRDefault="000839A2" w:rsidP="005968F7">
            <w:pPr>
              <w:spacing w:after="0"/>
              <w:rPr>
                <w:rFonts w:eastAsiaTheme="minorHAnsi" w:cs="Arial"/>
                <w:b/>
                <w:color w:val="auto"/>
                <w:lang w:eastAsia="en-US"/>
              </w:rPr>
            </w:pPr>
            <w:r w:rsidRPr="008D29EF">
              <w:rPr>
                <w:rFonts w:eastAsiaTheme="minorHAnsi" w:cs="Arial"/>
                <w:b/>
                <w:color w:val="auto"/>
                <w:lang w:eastAsia="en-US"/>
              </w:rPr>
              <w:t>(per hour)</w:t>
            </w:r>
          </w:p>
        </w:tc>
        <w:tc>
          <w:tcPr>
            <w:tcW w:w="2231" w:type="dxa"/>
            <w:tcBorders>
              <w:bottom w:val="single" w:sz="4" w:space="0" w:color="auto"/>
            </w:tcBorders>
            <w:shd w:val="clear" w:color="auto" w:fill="auto"/>
          </w:tcPr>
          <w:p w14:paraId="59E6857F" w14:textId="77777777" w:rsidR="000839A2" w:rsidRPr="008D29EF" w:rsidRDefault="000839A2" w:rsidP="005968F7">
            <w:pPr>
              <w:spacing w:after="0"/>
              <w:rPr>
                <w:rFonts w:eastAsiaTheme="minorHAnsi" w:cs="Arial"/>
                <w:b/>
                <w:color w:val="auto"/>
                <w:lang w:eastAsia="en-US"/>
              </w:rPr>
            </w:pPr>
            <w:r w:rsidRPr="008D29EF">
              <w:rPr>
                <w:rFonts w:eastAsiaTheme="minorHAnsi" w:cs="Arial"/>
                <w:b/>
                <w:color w:val="auto"/>
                <w:lang w:eastAsia="en-US"/>
              </w:rPr>
              <w:t xml:space="preserve">Average Male Salary </w:t>
            </w:r>
          </w:p>
          <w:p w14:paraId="7B9C50F2" w14:textId="77777777" w:rsidR="000839A2" w:rsidRPr="0060683C" w:rsidRDefault="000839A2" w:rsidP="005968F7">
            <w:pPr>
              <w:spacing w:after="0"/>
              <w:rPr>
                <w:rFonts w:eastAsiaTheme="minorHAnsi" w:cs="Arial"/>
                <w:b/>
                <w:color w:val="auto"/>
                <w:lang w:eastAsia="en-US"/>
              </w:rPr>
            </w:pPr>
            <w:r w:rsidRPr="008D29EF">
              <w:rPr>
                <w:rFonts w:eastAsiaTheme="minorHAnsi" w:cs="Arial"/>
                <w:b/>
                <w:color w:val="auto"/>
                <w:lang w:eastAsia="en-US"/>
              </w:rPr>
              <w:t>(per hour)</w:t>
            </w:r>
          </w:p>
        </w:tc>
      </w:tr>
      <w:tr w:rsidR="000839A2" w:rsidRPr="009B3E93" w14:paraId="185ED960" w14:textId="77777777" w:rsidTr="005968F7">
        <w:tc>
          <w:tcPr>
            <w:tcW w:w="1677" w:type="dxa"/>
            <w:tcBorders>
              <w:top w:val="single" w:sz="4" w:space="0" w:color="auto"/>
            </w:tcBorders>
          </w:tcPr>
          <w:p w14:paraId="6DA69993"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 xml:space="preserve">Full Time  </w:t>
            </w:r>
          </w:p>
        </w:tc>
        <w:tc>
          <w:tcPr>
            <w:tcW w:w="1164" w:type="dxa"/>
            <w:tcBorders>
              <w:top w:val="single" w:sz="4" w:space="0" w:color="auto"/>
            </w:tcBorders>
          </w:tcPr>
          <w:p w14:paraId="2B5E9B55"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Mean</w:t>
            </w:r>
          </w:p>
        </w:tc>
        <w:tc>
          <w:tcPr>
            <w:tcW w:w="1553" w:type="dxa"/>
            <w:tcBorders>
              <w:top w:val="single" w:sz="4" w:space="0" w:color="auto"/>
            </w:tcBorders>
          </w:tcPr>
          <w:p w14:paraId="6779DA54" w14:textId="60105070" w:rsidR="000839A2" w:rsidRPr="0060683C" w:rsidRDefault="009B3E93">
            <w:pPr>
              <w:spacing w:after="160"/>
              <w:rPr>
                <w:rFonts w:eastAsiaTheme="minorHAnsi" w:cs="Arial"/>
                <w:color w:val="auto"/>
                <w:lang w:eastAsia="en-US"/>
              </w:rPr>
            </w:pPr>
            <w:r w:rsidRPr="0060683C">
              <w:rPr>
                <w:rFonts w:eastAsiaTheme="minorHAnsi" w:cs="Arial"/>
                <w:color w:val="auto"/>
                <w:lang w:eastAsia="en-US"/>
              </w:rPr>
              <w:t>4.</w:t>
            </w:r>
            <w:r w:rsidR="00796816">
              <w:rPr>
                <w:rFonts w:eastAsiaTheme="minorHAnsi" w:cs="Arial"/>
                <w:color w:val="auto"/>
                <w:lang w:eastAsia="en-US"/>
              </w:rPr>
              <w:t>71</w:t>
            </w:r>
            <w:r w:rsidR="00655657" w:rsidRPr="0060683C">
              <w:rPr>
                <w:rFonts w:eastAsiaTheme="minorHAnsi" w:cs="Arial"/>
                <w:color w:val="auto"/>
                <w:lang w:eastAsia="en-US"/>
              </w:rPr>
              <w:t>%</w:t>
            </w:r>
          </w:p>
        </w:tc>
        <w:tc>
          <w:tcPr>
            <w:tcW w:w="2242" w:type="dxa"/>
            <w:tcBorders>
              <w:top w:val="single" w:sz="4" w:space="0" w:color="auto"/>
            </w:tcBorders>
          </w:tcPr>
          <w:p w14:paraId="48B9A92C" w14:textId="1921D284" w:rsidR="000839A2" w:rsidRPr="0060683C" w:rsidRDefault="00655657" w:rsidP="009B3E93">
            <w:pPr>
              <w:spacing w:after="160"/>
              <w:rPr>
                <w:rFonts w:eastAsiaTheme="minorHAnsi" w:cs="Arial"/>
                <w:color w:val="auto"/>
                <w:lang w:eastAsia="en-US"/>
              </w:rPr>
            </w:pPr>
            <w:r w:rsidRPr="0060683C">
              <w:rPr>
                <w:rFonts w:eastAsiaTheme="minorHAnsi" w:cs="Arial"/>
                <w:color w:val="auto"/>
                <w:lang w:eastAsia="en-US"/>
              </w:rPr>
              <w:t>£</w:t>
            </w:r>
            <w:r w:rsidR="009B3E93" w:rsidRPr="0060683C">
              <w:rPr>
                <w:rFonts w:eastAsiaTheme="minorHAnsi" w:cs="Arial"/>
                <w:color w:val="auto"/>
                <w:lang w:eastAsia="en-US"/>
              </w:rPr>
              <w:t>2</w:t>
            </w:r>
            <w:r w:rsidR="004D2554">
              <w:rPr>
                <w:rFonts w:eastAsiaTheme="minorHAnsi" w:cs="Arial"/>
                <w:color w:val="auto"/>
                <w:lang w:eastAsia="en-US"/>
              </w:rPr>
              <w:t>1.00</w:t>
            </w:r>
          </w:p>
        </w:tc>
        <w:tc>
          <w:tcPr>
            <w:tcW w:w="2231" w:type="dxa"/>
            <w:tcBorders>
              <w:top w:val="single" w:sz="4" w:space="0" w:color="auto"/>
            </w:tcBorders>
          </w:tcPr>
          <w:p w14:paraId="159BE2F7" w14:textId="1FB530BF" w:rsidR="000839A2" w:rsidRPr="0060683C" w:rsidRDefault="00655657" w:rsidP="009F4037">
            <w:pPr>
              <w:spacing w:after="160"/>
              <w:rPr>
                <w:rFonts w:eastAsiaTheme="minorHAnsi" w:cs="Arial"/>
                <w:color w:val="auto"/>
                <w:lang w:eastAsia="en-US"/>
              </w:rPr>
            </w:pPr>
            <w:r w:rsidRPr="0060683C">
              <w:rPr>
                <w:rFonts w:eastAsiaTheme="minorHAnsi" w:cs="Arial"/>
                <w:color w:val="auto"/>
                <w:lang w:eastAsia="en-US"/>
              </w:rPr>
              <w:t>£2</w:t>
            </w:r>
            <w:r w:rsidR="009F4037" w:rsidRPr="0060683C">
              <w:rPr>
                <w:rFonts w:eastAsiaTheme="minorHAnsi" w:cs="Arial"/>
                <w:color w:val="auto"/>
                <w:lang w:eastAsia="en-US"/>
              </w:rPr>
              <w:t>1</w:t>
            </w:r>
            <w:r w:rsidRPr="0060683C">
              <w:rPr>
                <w:rFonts w:eastAsiaTheme="minorHAnsi" w:cs="Arial"/>
                <w:color w:val="auto"/>
                <w:lang w:eastAsia="en-US"/>
              </w:rPr>
              <w:t>.</w:t>
            </w:r>
            <w:r w:rsidR="004D2554">
              <w:rPr>
                <w:rFonts w:eastAsiaTheme="minorHAnsi" w:cs="Arial"/>
                <w:color w:val="auto"/>
                <w:lang w:eastAsia="en-US"/>
              </w:rPr>
              <w:t>99</w:t>
            </w:r>
          </w:p>
        </w:tc>
      </w:tr>
      <w:tr w:rsidR="000839A2" w:rsidRPr="009B3E93" w14:paraId="29735260" w14:textId="77777777" w:rsidTr="005968F7">
        <w:tc>
          <w:tcPr>
            <w:tcW w:w="1677" w:type="dxa"/>
          </w:tcPr>
          <w:p w14:paraId="09C601D5"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 xml:space="preserve">Part Time </w:t>
            </w:r>
          </w:p>
        </w:tc>
        <w:tc>
          <w:tcPr>
            <w:tcW w:w="1164" w:type="dxa"/>
          </w:tcPr>
          <w:p w14:paraId="0C410693"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Mean</w:t>
            </w:r>
          </w:p>
        </w:tc>
        <w:tc>
          <w:tcPr>
            <w:tcW w:w="1553" w:type="dxa"/>
          </w:tcPr>
          <w:p w14:paraId="35A5DFBD" w14:textId="22A636DC" w:rsidR="000839A2" w:rsidRPr="0060683C" w:rsidRDefault="004D2554" w:rsidP="009B3E93">
            <w:pPr>
              <w:spacing w:after="160"/>
              <w:rPr>
                <w:rFonts w:eastAsiaTheme="minorHAnsi" w:cs="Arial"/>
                <w:color w:val="auto"/>
                <w:lang w:eastAsia="en-US"/>
              </w:rPr>
            </w:pPr>
            <w:r>
              <w:rPr>
                <w:rFonts w:eastAsiaTheme="minorHAnsi" w:cs="Arial"/>
                <w:color w:val="auto"/>
                <w:lang w:eastAsia="en-US"/>
              </w:rPr>
              <w:t>0.48%</w:t>
            </w:r>
            <w:r w:rsidR="000839A2" w:rsidRPr="0060683C">
              <w:rPr>
                <w:rFonts w:eastAsiaTheme="minorHAnsi" w:cs="Arial"/>
                <w:color w:val="auto"/>
                <w:lang w:eastAsia="en-US"/>
              </w:rPr>
              <w:t xml:space="preserve">     </w:t>
            </w:r>
          </w:p>
        </w:tc>
        <w:tc>
          <w:tcPr>
            <w:tcW w:w="2242" w:type="dxa"/>
          </w:tcPr>
          <w:p w14:paraId="37852130" w14:textId="1C0E170C" w:rsidR="000839A2" w:rsidRPr="0060683C" w:rsidRDefault="00655657" w:rsidP="009B3E93">
            <w:pPr>
              <w:spacing w:after="160"/>
              <w:rPr>
                <w:rFonts w:eastAsiaTheme="minorHAnsi" w:cs="Arial"/>
                <w:color w:val="auto"/>
                <w:lang w:eastAsia="en-US"/>
              </w:rPr>
            </w:pPr>
            <w:r w:rsidRPr="0060683C">
              <w:rPr>
                <w:rFonts w:eastAsiaTheme="minorHAnsi" w:cs="Arial"/>
                <w:color w:val="auto"/>
                <w:lang w:eastAsia="en-US"/>
              </w:rPr>
              <w:t>£</w:t>
            </w:r>
            <w:r w:rsidR="009B3E93" w:rsidRPr="0060683C">
              <w:rPr>
                <w:rFonts w:eastAsiaTheme="minorHAnsi" w:cs="Arial"/>
                <w:color w:val="auto"/>
                <w:lang w:eastAsia="en-US"/>
              </w:rPr>
              <w:t>18.</w:t>
            </w:r>
            <w:r w:rsidR="004D2554">
              <w:rPr>
                <w:rFonts w:eastAsiaTheme="minorHAnsi" w:cs="Arial"/>
                <w:color w:val="auto"/>
                <w:lang w:eastAsia="en-US"/>
              </w:rPr>
              <w:t>67</w:t>
            </w:r>
          </w:p>
        </w:tc>
        <w:tc>
          <w:tcPr>
            <w:tcW w:w="2231" w:type="dxa"/>
          </w:tcPr>
          <w:p w14:paraId="09570BE0" w14:textId="5DF428D2" w:rsidR="000839A2" w:rsidRPr="0060683C" w:rsidRDefault="00655657" w:rsidP="005968F7">
            <w:pPr>
              <w:spacing w:after="160"/>
              <w:rPr>
                <w:rFonts w:eastAsiaTheme="minorHAnsi" w:cs="Arial"/>
                <w:b/>
                <w:color w:val="auto"/>
                <w:lang w:eastAsia="en-US"/>
              </w:rPr>
            </w:pPr>
            <w:r w:rsidRPr="0060683C">
              <w:rPr>
                <w:rFonts w:eastAsiaTheme="minorHAnsi" w:cs="Arial"/>
                <w:color w:val="auto"/>
                <w:lang w:eastAsia="en-US"/>
              </w:rPr>
              <w:t>£</w:t>
            </w:r>
            <w:r w:rsidR="009B3E93" w:rsidRPr="0060683C">
              <w:rPr>
                <w:rFonts w:eastAsiaTheme="minorHAnsi" w:cs="Arial"/>
                <w:color w:val="auto"/>
                <w:lang w:eastAsia="en-US"/>
              </w:rPr>
              <w:t>18.</w:t>
            </w:r>
            <w:r w:rsidR="006D3B58">
              <w:rPr>
                <w:rFonts w:eastAsiaTheme="minorHAnsi" w:cs="Arial"/>
                <w:color w:val="auto"/>
                <w:lang w:eastAsia="en-US"/>
              </w:rPr>
              <w:t>76</w:t>
            </w:r>
          </w:p>
          <w:p w14:paraId="6B6F5741" w14:textId="77777777" w:rsidR="000839A2" w:rsidRPr="0060683C" w:rsidRDefault="000839A2" w:rsidP="005968F7">
            <w:pPr>
              <w:spacing w:after="160"/>
              <w:rPr>
                <w:rFonts w:eastAsiaTheme="minorHAnsi" w:cs="Arial"/>
                <w:color w:val="auto"/>
                <w:lang w:eastAsia="en-US"/>
              </w:rPr>
            </w:pPr>
          </w:p>
        </w:tc>
      </w:tr>
      <w:tr w:rsidR="000839A2" w:rsidRPr="009B3E93" w14:paraId="10433A48" w14:textId="77777777" w:rsidTr="005968F7">
        <w:tc>
          <w:tcPr>
            <w:tcW w:w="1677" w:type="dxa"/>
          </w:tcPr>
          <w:p w14:paraId="482BE6CB"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 xml:space="preserve">Full Time </w:t>
            </w:r>
          </w:p>
        </w:tc>
        <w:tc>
          <w:tcPr>
            <w:tcW w:w="1164" w:type="dxa"/>
          </w:tcPr>
          <w:p w14:paraId="5741E33E"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Median</w:t>
            </w:r>
          </w:p>
        </w:tc>
        <w:tc>
          <w:tcPr>
            <w:tcW w:w="1553" w:type="dxa"/>
          </w:tcPr>
          <w:p w14:paraId="15B7B823" w14:textId="77777777" w:rsidR="000839A2" w:rsidRPr="0060683C" w:rsidRDefault="00655657" w:rsidP="005968F7">
            <w:pPr>
              <w:spacing w:after="160"/>
              <w:rPr>
                <w:rFonts w:eastAsiaTheme="minorHAnsi" w:cs="Arial"/>
                <w:color w:val="auto"/>
                <w:lang w:eastAsia="en-US"/>
              </w:rPr>
            </w:pPr>
            <w:r w:rsidRPr="0060683C">
              <w:rPr>
                <w:rFonts w:eastAsiaTheme="minorHAnsi" w:cs="Arial"/>
                <w:color w:val="auto"/>
                <w:lang w:eastAsia="en-US"/>
              </w:rPr>
              <w:t>0%</w:t>
            </w:r>
          </w:p>
        </w:tc>
        <w:tc>
          <w:tcPr>
            <w:tcW w:w="2242" w:type="dxa"/>
          </w:tcPr>
          <w:p w14:paraId="441FDECC" w14:textId="6465CEFA" w:rsidR="000839A2" w:rsidRPr="0060683C" w:rsidRDefault="00655657" w:rsidP="009B3E93">
            <w:pPr>
              <w:spacing w:after="160"/>
              <w:rPr>
                <w:rFonts w:eastAsiaTheme="minorHAnsi" w:cs="Arial"/>
                <w:color w:val="auto"/>
                <w:lang w:eastAsia="en-US"/>
              </w:rPr>
            </w:pPr>
            <w:r w:rsidRPr="0060683C">
              <w:rPr>
                <w:rFonts w:eastAsiaTheme="minorHAnsi" w:cs="Arial"/>
                <w:color w:val="auto"/>
                <w:lang w:eastAsia="en-US"/>
              </w:rPr>
              <w:t>£</w:t>
            </w:r>
            <w:r w:rsidR="009B3E93" w:rsidRPr="0060683C">
              <w:rPr>
                <w:rFonts w:eastAsiaTheme="minorHAnsi" w:cs="Arial"/>
                <w:color w:val="auto"/>
                <w:lang w:eastAsia="en-US"/>
              </w:rPr>
              <w:t>19.</w:t>
            </w:r>
            <w:r w:rsidR="004D2554">
              <w:rPr>
                <w:rFonts w:eastAsiaTheme="minorHAnsi" w:cs="Arial"/>
                <w:color w:val="auto"/>
                <w:lang w:eastAsia="en-US"/>
              </w:rPr>
              <w:t>64</w:t>
            </w:r>
          </w:p>
        </w:tc>
        <w:tc>
          <w:tcPr>
            <w:tcW w:w="2231" w:type="dxa"/>
          </w:tcPr>
          <w:p w14:paraId="15B307E9" w14:textId="35BC16CD" w:rsidR="000839A2" w:rsidRPr="0060683C" w:rsidRDefault="00655657" w:rsidP="009B3E93">
            <w:pPr>
              <w:spacing w:after="160"/>
              <w:ind w:right="-755"/>
              <w:rPr>
                <w:rFonts w:eastAsiaTheme="minorHAnsi" w:cs="Arial"/>
                <w:color w:val="auto"/>
                <w:lang w:eastAsia="en-US"/>
              </w:rPr>
            </w:pPr>
            <w:r w:rsidRPr="0060683C">
              <w:rPr>
                <w:rFonts w:eastAsiaTheme="minorHAnsi" w:cs="Arial"/>
                <w:color w:val="auto"/>
                <w:lang w:eastAsia="en-US"/>
              </w:rPr>
              <w:t>£</w:t>
            </w:r>
            <w:r w:rsidR="009B3E93" w:rsidRPr="0060683C">
              <w:rPr>
                <w:rFonts w:eastAsiaTheme="minorHAnsi" w:cs="Arial"/>
                <w:color w:val="auto"/>
                <w:lang w:eastAsia="en-US"/>
              </w:rPr>
              <w:t>19.</w:t>
            </w:r>
            <w:r w:rsidR="006D3B58">
              <w:rPr>
                <w:rFonts w:eastAsiaTheme="minorHAnsi" w:cs="Arial"/>
                <w:color w:val="auto"/>
                <w:lang w:eastAsia="en-US"/>
              </w:rPr>
              <w:t>64</w:t>
            </w:r>
          </w:p>
        </w:tc>
      </w:tr>
      <w:tr w:rsidR="000839A2" w14:paraId="05147FDF" w14:textId="77777777" w:rsidTr="005968F7">
        <w:tc>
          <w:tcPr>
            <w:tcW w:w="1677" w:type="dxa"/>
          </w:tcPr>
          <w:p w14:paraId="7E1F9E51"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 xml:space="preserve">Part Time </w:t>
            </w:r>
          </w:p>
        </w:tc>
        <w:tc>
          <w:tcPr>
            <w:tcW w:w="1164" w:type="dxa"/>
          </w:tcPr>
          <w:p w14:paraId="1E09722E" w14:textId="77777777" w:rsidR="000839A2" w:rsidRPr="0060683C" w:rsidRDefault="000839A2" w:rsidP="005968F7">
            <w:pPr>
              <w:spacing w:after="160"/>
              <w:rPr>
                <w:rFonts w:eastAsiaTheme="minorHAnsi" w:cs="Arial"/>
                <w:color w:val="auto"/>
                <w:lang w:eastAsia="en-US"/>
              </w:rPr>
            </w:pPr>
            <w:r w:rsidRPr="0060683C">
              <w:rPr>
                <w:rFonts w:eastAsiaTheme="minorHAnsi" w:cs="Arial"/>
                <w:color w:val="auto"/>
                <w:lang w:eastAsia="en-US"/>
              </w:rPr>
              <w:t>Median</w:t>
            </w:r>
          </w:p>
        </w:tc>
        <w:tc>
          <w:tcPr>
            <w:tcW w:w="1553" w:type="dxa"/>
          </w:tcPr>
          <w:p w14:paraId="6B6DFFC9" w14:textId="5AA0FAC2" w:rsidR="000839A2" w:rsidRPr="0060683C" w:rsidRDefault="009B3E93">
            <w:pPr>
              <w:spacing w:after="160"/>
              <w:rPr>
                <w:rFonts w:eastAsiaTheme="minorHAnsi" w:cs="Arial"/>
                <w:color w:val="auto"/>
                <w:lang w:eastAsia="en-US"/>
              </w:rPr>
            </w:pPr>
            <w:r w:rsidRPr="0060683C">
              <w:rPr>
                <w:rFonts w:eastAsiaTheme="minorHAnsi" w:cs="Arial"/>
                <w:color w:val="auto"/>
                <w:lang w:eastAsia="en-US"/>
              </w:rPr>
              <w:t>2.58</w:t>
            </w:r>
            <w:r w:rsidR="00655657" w:rsidRPr="0060683C">
              <w:rPr>
                <w:rFonts w:eastAsiaTheme="minorHAnsi" w:cs="Arial"/>
                <w:color w:val="auto"/>
                <w:lang w:eastAsia="en-US"/>
              </w:rPr>
              <w:t>%</w:t>
            </w:r>
            <w:r w:rsidR="000839A2" w:rsidRPr="0060683C">
              <w:rPr>
                <w:rFonts w:eastAsiaTheme="minorHAnsi" w:cs="Arial"/>
                <w:color w:val="auto"/>
                <w:lang w:eastAsia="en-US"/>
              </w:rPr>
              <w:t xml:space="preserve">     </w:t>
            </w:r>
          </w:p>
        </w:tc>
        <w:tc>
          <w:tcPr>
            <w:tcW w:w="2242" w:type="dxa"/>
          </w:tcPr>
          <w:p w14:paraId="75FAC13F" w14:textId="4588B95A" w:rsidR="000839A2" w:rsidRPr="0060683C" w:rsidRDefault="00655657" w:rsidP="009B3E93">
            <w:pPr>
              <w:spacing w:after="160"/>
              <w:rPr>
                <w:rFonts w:eastAsiaTheme="minorHAnsi" w:cs="Arial"/>
                <w:color w:val="auto"/>
                <w:lang w:eastAsia="en-US"/>
              </w:rPr>
            </w:pPr>
            <w:r w:rsidRPr="0060683C">
              <w:rPr>
                <w:rFonts w:eastAsiaTheme="minorHAnsi" w:cs="Arial"/>
                <w:color w:val="auto"/>
                <w:lang w:eastAsia="en-US"/>
              </w:rPr>
              <w:t>£</w:t>
            </w:r>
            <w:r w:rsidR="004D2554">
              <w:rPr>
                <w:rFonts w:eastAsiaTheme="minorHAnsi" w:cs="Arial"/>
                <w:color w:val="auto"/>
                <w:lang w:eastAsia="en-US"/>
              </w:rPr>
              <w:t>17.36</w:t>
            </w:r>
            <w:r w:rsidR="000839A2" w:rsidRPr="0060683C">
              <w:rPr>
                <w:rFonts w:eastAsiaTheme="minorHAnsi" w:cs="Arial"/>
                <w:color w:val="auto"/>
                <w:lang w:eastAsia="en-US"/>
              </w:rPr>
              <w:t xml:space="preserve">  </w:t>
            </w:r>
          </w:p>
        </w:tc>
        <w:tc>
          <w:tcPr>
            <w:tcW w:w="2231" w:type="dxa"/>
          </w:tcPr>
          <w:p w14:paraId="2FD47836" w14:textId="653FA45E" w:rsidR="009B3E93" w:rsidRPr="0060683C" w:rsidRDefault="00B27588" w:rsidP="009B3E93">
            <w:pPr>
              <w:spacing w:after="160"/>
              <w:rPr>
                <w:rFonts w:eastAsiaTheme="minorHAnsi" w:cs="Arial"/>
                <w:color w:val="auto"/>
                <w:lang w:eastAsia="en-US"/>
              </w:rPr>
            </w:pPr>
            <w:r w:rsidRPr="0060683C">
              <w:rPr>
                <w:rFonts w:eastAsiaTheme="minorHAnsi" w:cs="Arial"/>
                <w:color w:val="auto"/>
                <w:lang w:eastAsia="en-US"/>
              </w:rPr>
              <w:t>£</w:t>
            </w:r>
            <w:r w:rsidR="009B3E93" w:rsidRPr="0060683C">
              <w:rPr>
                <w:rFonts w:eastAsiaTheme="minorHAnsi" w:cs="Arial"/>
                <w:color w:val="auto"/>
                <w:lang w:eastAsia="en-US"/>
              </w:rPr>
              <w:t>17.3</w:t>
            </w:r>
            <w:r w:rsidR="006D3B58">
              <w:rPr>
                <w:rFonts w:eastAsiaTheme="minorHAnsi" w:cs="Arial"/>
                <w:color w:val="auto"/>
                <w:lang w:eastAsia="en-US"/>
              </w:rPr>
              <w:t>6</w:t>
            </w:r>
          </w:p>
        </w:tc>
      </w:tr>
    </w:tbl>
    <w:p w14:paraId="5F398380" w14:textId="7339890F" w:rsidR="00F3220E" w:rsidRDefault="00F3220E" w:rsidP="008D29EF">
      <w:pPr>
        <w:spacing w:line="240" w:lineRule="auto"/>
      </w:pPr>
    </w:p>
    <w:p w14:paraId="1C3E3902" w14:textId="77777777" w:rsidR="00102E95" w:rsidRDefault="00E46A65" w:rsidP="00030123">
      <w:pPr>
        <w:ind w:left="360" w:hanging="360"/>
      </w:pPr>
      <w:r w:rsidRPr="00644945">
        <w:rPr>
          <w:b/>
          <w:bCs/>
        </w:rPr>
        <w:t>ETHNICITY PAY GAP</w:t>
      </w:r>
      <w:r w:rsidR="00DC0C58">
        <w:t xml:space="preserve"> </w:t>
      </w:r>
    </w:p>
    <w:p w14:paraId="03FC1831" w14:textId="2F489A55" w:rsidR="00102E95" w:rsidRPr="00A620AE" w:rsidRDefault="00756305" w:rsidP="00400880">
      <w:pPr>
        <w:pStyle w:val="ListParagraph"/>
        <w:numPr>
          <w:ilvl w:val="0"/>
          <w:numId w:val="18"/>
        </w:numPr>
      </w:pPr>
      <w:r>
        <w:t>Ethnicity pay gap reporting remains voluntary</w:t>
      </w:r>
      <w:r w:rsidR="0060683C">
        <w:t xml:space="preserve">. </w:t>
      </w:r>
      <w:r w:rsidR="005D429B">
        <w:t xml:space="preserve">We have published </w:t>
      </w:r>
      <w:r w:rsidR="00E306F8">
        <w:t>et</w:t>
      </w:r>
      <w:r w:rsidR="00CE18D6">
        <w:t xml:space="preserve">hnicity pay gap data since 2020. </w:t>
      </w:r>
      <w:r w:rsidR="0060683C">
        <w:t>The Government has published guidance for employers on reporting</w:t>
      </w:r>
      <w:r w:rsidR="00102E95">
        <w:t xml:space="preserve"> the ethnicity pay gap.  </w:t>
      </w:r>
      <w:r w:rsidR="00DD031C">
        <w:t xml:space="preserve">The guidance uses the same </w:t>
      </w:r>
      <w:r w:rsidR="00102E95">
        <w:t>methodology that is used for calculating the gender pay gap</w:t>
      </w:r>
      <w:r w:rsidR="00DD031C">
        <w:t>. This is the method that we have and will continue to use to calculate</w:t>
      </w:r>
      <w:r w:rsidR="00102E95">
        <w:t xml:space="preserve"> the Council’s ethnicity pay gap.</w:t>
      </w:r>
    </w:p>
    <w:p w14:paraId="7938C11A" w14:textId="0F22BC13" w:rsidR="00CA2E50" w:rsidRPr="00E46A65" w:rsidRDefault="00CA2E50" w:rsidP="00400880">
      <w:pPr>
        <w:pStyle w:val="ListParagraph"/>
        <w:numPr>
          <w:ilvl w:val="0"/>
          <w:numId w:val="18"/>
        </w:numPr>
      </w:pPr>
      <w:r w:rsidRPr="726E49C3">
        <w:rPr>
          <w:rFonts w:cs="Arial"/>
        </w:rPr>
        <w:t>The provision of ethnicity information is voluntary and</w:t>
      </w:r>
      <w:r w:rsidR="00923542">
        <w:rPr>
          <w:rFonts w:cs="Arial"/>
        </w:rPr>
        <w:t>,</w:t>
      </w:r>
      <w:r w:rsidRPr="726E49C3">
        <w:rPr>
          <w:rFonts w:cs="Arial"/>
        </w:rPr>
        <w:t xml:space="preserve"> for the Council’s workforce</w:t>
      </w:r>
      <w:r w:rsidR="00923542">
        <w:rPr>
          <w:rFonts w:cs="Arial"/>
        </w:rPr>
        <w:t>,</w:t>
      </w:r>
      <w:r w:rsidRPr="726E49C3">
        <w:rPr>
          <w:rFonts w:cs="Arial"/>
        </w:rPr>
        <w:t xml:space="preserve"> </w:t>
      </w:r>
      <w:r w:rsidR="00DD031C" w:rsidRPr="726E49C3">
        <w:rPr>
          <w:rFonts w:cs="Arial"/>
        </w:rPr>
        <w:t>13.</w:t>
      </w:r>
      <w:r w:rsidR="004C25C4" w:rsidRPr="726E49C3">
        <w:rPr>
          <w:rFonts w:cs="Arial"/>
        </w:rPr>
        <w:t>4</w:t>
      </w:r>
      <w:r w:rsidR="00DD031C" w:rsidRPr="726E49C3">
        <w:rPr>
          <w:rFonts w:cs="Arial"/>
        </w:rPr>
        <w:t>5</w:t>
      </w:r>
      <w:r w:rsidRPr="726E49C3">
        <w:rPr>
          <w:rFonts w:cs="Arial"/>
        </w:rPr>
        <w:t xml:space="preserve">% of </w:t>
      </w:r>
      <w:r w:rsidR="007F7136" w:rsidRPr="726E49C3">
        <w:rPr>
          <w:rFonts w:cs="Arial"/>
        </w:rPr>
        <w:t>employees have not shared data</w:t>
      </w:r>
      <w:r w:rsidR="747770CA" w:rsidRPr="726E49C3">
        <w:rPr>
          <w:rFonts w:cs="Arial"/>
        </w:rPr>
        <w:t xml:space="preserve"> about their identity. </w:t>
      </w:r>
      <w:r w:rsidRPr="726E49C3">
        <w:rPr>
          <w:rFonts w:cs="Arial"/>
        </w:rPr>
        <w:t xml:space="preserve">For the purpose of this report the categories have been grouped into three classifications: </w:t>
      </w:r>
    </w:p>
    <w:p w14:paraId="1154F038" w14:textId="77777777" w:rsidR="00CA2E50" w:rsidRPr="00BE7013" w:rsidRDefault="00664CBD" w:rsidP="003D2621">
      <w:pPr>
        <w:pStyle w:val="ListParagraph"/>
        <w:numPr>
          <w:ilvl w:val="0"/>
          <w:numId w:val="5"/>
        </w:numPr>
        <w:tabs>
          <w:tab w:val="clear" w:pos="426"/>
        </w:tabs>
        <w:spacing w:after="160"/>
        <w:contextualSpacing/>
        <w:rPr>
          <w:rFonts w:cs="Arial"/>
        </w:rPr>
      </w:pPr>
      <w:r>
        <w:rPr>
          <w:rFonts w:cs="Arial"/>
        </w:rPr>
        <w:t>Minority ethnic groups</w:t>
      </w:r>
    </w:p>
    <w:p w14:paraId="02904BDF" w14:textId="77777777" w:rsidR="00CA2E50" w:rsidRPr="00BE7013" w:rsidRDefault="00CA2E50" w:rsidP="003D2621">
      <w:pPr>
        <w:pStyle w:val="ListParagraph"/>
        <w:numPr>
          <w:ilvl w:val="0"/>
          <w:numId w:val="5"/>
        </w:numPr>
        <w:tabs>
          <w:tab w:val="clear" w:pos="426"/>
        </w:tabs>
        <w:spacing w:after="160"/>
        <w:contextualSpacing/>
        <w:rPr>
          <w:rFonts w:cs="Arial"/>
        </w:rPr>
      </w:pPr>
      <w:r w:rsidRPr="00BE7013">
        <w:rPr>
          <w:rFonts w:cs="Arial"/>
        </w:rPr>
        <w:t>White</w:t>
      </w:r>
    </w:p>
    <w:p w14:paraId="74BB4DF9" w14:textId="77777777" w:rsidR="00561F0A" w:rsidRDefault="00CA2E50" w:rsidP="003D2621">
      <w:pPr>
        <w:pStyle w:val="ListParagraph"/>
        <w:numPr>
          <w:ilvl w:val="0"/>
          <w:numId w:val="5"/>
        </w:numPr>
        <w:tabs>
          <w:tab w:val="clear" w:pos="426"/>
        </w:tabs>
        <w:spacing w:after="160"/>
        <w:contextualSpacing/>
        <w:rPr>
          <w:rFonts w:cs="Arial"/>
        </w:rPr>
      </w:pPr>
      <w:r w:rsidRPr="00BE7013">
        <w:rPr>
          <w:rFonts w:cs="Arial"/>
        </w:rPr>
        <w:lastRenderedPageBreak/>
        <w:t>Not known</w:t>
      </w:r>
    </w:p>
    <w:p w14:paraId="50AB50DB" w14:textId="77777777" w:rsidR="00680124" w:rsidRDefault="00680124" w:rsidP="00680124">
      <w:pPr>
        <w:pStyle w:val="ListParagraph"/>
        <w:numPr>
          <w:ilvl w:val="0"/>
          <w:numId w:val="0"/>
        </w:numPr>
        <w:tabs>
          <w:tab w:val="clear" w:pos="426"/>
        </w:tabs>
        <w:spacing w:after="160"/>
        <w:ind w:left="720"/>
        <w:contextualSpacing/>
        <w:rPr>
          <w:rFonts w:cs="Arial"/>
        </w:rPr>
      </w:pPr>
    </w:p>
    <w:p w14:paraId="41A4555E" w14:textId="22880CF5" w:rsidR="00030917" w:rsidRPr="0032325E" w:rsidRDefault="00127ED7" w:rsidP="00400880">
      <w:pPr>
        <w:pStyle w:val="ListParagraph"/>
        <w:numPr>
          <w:ilvl w:val="0"/>
          <w:numId w:val="18"/>
        </w:numPr>
        <w:rPr>
          <w:rFonts w:cs="Arial"/>
        </w:rPr>
      </w:pPr>
      <w:r>
        <w:rPr>
          <w:rFonts w:cs="Arial"/>
        </w:rPr>
        <w:t xml:space="preserve"> </w:t>
      </w:r>
      <w:r w:rsidR="00A620AE" w:rsidRPr="726E49C3">
        <w:rPr>
          <w:rFonts w:cs="Arial"/>
        </w:rPr>
        <w:t>I</w:t>
      </w:r>
      <w:r w:rsidR="00561F0A" w:rsidRPr="726E49C3">
        <w:rPr>
          <w:rFonts w:cs="Arial"/>
        </w:rPr>
        <w:t xml:space="preserve">t is important to note that whilst the classifications have been grouped </w:t>
      </w:r>
      <w:r w:rsidR="00C2416E" w:rsidRPr="726E49C3">
        <w:rPr>
          <w:rFonts w:cs="Arial"/>
        </w:rPr>
        <w:t xml:space="preserve">to provide a useful overview, this does not inhibit the Council from undertaking a deep-dive to </w:t>
      </w:r>
      <w:r w:rsidR="00A620AE" w:rsidRPr="726E49C3">
        <w:rPr>
          <w:rFonts w:cs="Arial"/>
        </w:rPr>
        <w:t xml:space="preserve">better </w:t>
      </w:r>
      <w:r w:rsidR="00C2416E" w:rsidRPr="726E49C3">
        <w:rPr>
          <w:rFonts w:cs="Arial"/>
        </w:rPr>
        <w:t>understand impact</w:t>
      </w:r>
      <w:r w:rsidR="004B51A7" w:rsidRPr="726E49C3">
        <w:rPr>
          <w:rFonts w:cs="Arial"/>
        </w:rPr>
        <w:t xml:space="preserve"> at specific ethnicity level</w:t>
      </w:r>
      <w:r w:rsidR="00C2416E" w:rsidRPr="726E49C3">
        <w:rPr>
          <w:rFonts w:cs="Arial"/>
        </w:rPr>
        <w:t>. However</w:t>
      </w:r>
      <w:r w:rsidR="008844AF" w:rsidRPr="726E49C3">
        <w:rPr>
          <w:rFonts w:cs="Arial"/>
        </w:rPr>
        <w:t xml:space="preserve">, </w:t>
      </w:r>
      <w:r w:rsidR="006B72DA" w:rsidRPr="726E49C3">
        <w:rPr>
          <w:rFonts w:cs="Arial"/>
        </w:rPr>
        <w:t xml:space="preserve">it is </w:t>
      </w:r>
      <w:r w:rsidR="008844AF" w:rsidRPr="726E49C3">
        <w:rPr>
          <w:rFonts w:cs="Arial"/>
        </w:rPr>
        <w:t>worth</w:t>
      </w:r>
      <w:r w:rsidR="00C2416E" w:rsidRPr="726E49C3">
        <w:rPr>
          <w:rFonts w:cs="Arial"/>
        </w:rPr>
        <w:t xml:space="preserve"> not</w:t>
      </w:r>
      <w:r w:rsidR="00DC0C58" w:rsidRPr="726E49C3">
        <w:rPr>
          <w:rFonts w:cs="Arial"/>
        </w:rPr>
        <w:t>ing</w:t>
      </w:r>
      <w:r w:rsidR="00C2416E" w:rsidRPr="726E49C3">
        <w:rPr>
          <w:rFonts w:cs="Arial"/>
        </w:rPr>
        <w:t xml:space="preserve"> that given the size of the </w:t>
      </w:r>
      <w:r w:rsidR="004B51A7" w:rsidRPr="726E49C3">
        <w:rPr>
          <w:rFonts w:cs="Arial"/>
        </w:rPr>
        <w:t xml:space="preserve">smaller </w:t>
      </w:r>
      <w:r w:rsidR="00C2416E" w:rsidRPr="726E49C3">
        <w:rPr>
          <w:rFonts w:cs="Arial"/>
        </w:rPr>
        <w:t>cohorts</w:t>
      </w:r>
      <w:r w:rsidR="004B51A7" w:rsidRPr="726E49C3">
        <w:rPr>
          <w:rFonts w:cs="Arial"/>
        </w:rPr>
        <w:t xml:space="preserve"> when assessing specific ethnicities</w:t>
      </w:r>
      <w:r w:rsidR="006B72DA" w:rsidRPr="726E49C3">
        <w:rPr>
          <w:rFonts w:cs="Arial"/>
        </w:rPr>
        <w:t>,</w:t>
      </w:r>
      <w:r w:rsidR="004B51A7" w:rsidRPr="726E49C3">
        <w:rPr>
          <w:rFonts w:cs="Arial"/>
        </w:rPr>
        <w:t xml:space="preserve"> it is important to be careful in how the information is interpreted and compared.</w:t>
      </w:r>
      <w:r w:rsidR="00C2416E" w:rsidRPr="726E49C3">
        <w:rPr>
          <w:rFonts w:cs="Arial"/>
        </w:rPr>
        <w:t xml:space="preserve">  </w:t>
      </w:r>
      <w:r w:rsidR="00DD031C" w:rsidRPr="726E49C3">
        <w:rPr>
          <w:rFonts w:cs="Arial"/>
        </w:rPr>
        <w:t xml:space="preserve">The Government guidance recommends </w:t>
      </w:r>
      <w:r w:rsidR="0032325E" w:rsidRPr="726E49C3">
        <w:rPr>
          <w:rFonts w:cs="Arial"/>
        </w:rPr>
        <w:t>that when calculating data it should be at the most s</w:t>
      </w:r>
      <w:r w:rsidR="00DD031C" w:rsidRPr="726E49C3">
        <w:rPr>
          <w:rFonts w:cs="Arial"/>
        </w:rPr>
        <w:t>pecific level that is possible</w:t>
      </w:r>
      <w:r w:rsidR="002A2991">
        <w:rPr>
          <w:rFonts w:cs="Arial"/>
        </w:rPr>
        <w:t>. H</w:t>
      </w:r>
      <w:r w:rsidR="00DD031C" w:rsidRPr="726E49C3">
        <w:rPr>
          <w:rFonts w:cs="Arial"/>
        </w:rPr>
        <w:t xml:space="preserve">owever, it also </w:t>
      </w:r>
      <w:r w:rsidR="0032325E" w:rsidRPr="726E49C3">
        <w:rPr>
          <w:rFonts w:cs="Arial"/>
        </w:rPr>
        <w:t>recommends a minimum group size of 50 for published data.</w:t>
      </w:r>
      <w:r w:rsidR="00DD031C" w:rsidRPr="726E49C3">
        <w:rPr>
          <w:rFonts w:cs="Arial"/>
        </w:rPr>
        <w:t xml:space="preserve"> </w:t>
      </w:r>
      <w:r w:rsidR="00A61A0D" w:rsidRPr="726E49C3">
        <w:rPr>
          <w:rFonts w:cs="Arial"/>
        </w:rPr>
        <w:t xml:space="preserve">The </w:t>
      </w:r>
      <w:r w:rsidR="004B51A7" w:rsidRPr="726E49C3">
        <w:rPr>
          <w:rFonts w:cs="Arial"/>
        </w:rPr>
        <w:t xml:space="preserve">current </w:t>
      </w:r>
      <w:r w:rsidR="00A61A0D" w:rsidRPr="726E49C3">
        <w:rPr>
          <w:rFonts w:cs="Arial"/>
        </w:rPr>
        <w:t xml:space="preserve">number of employees </w:t>
      </w:r>
      <w:r w:rsidR="00720766" w:rsidRPr="726E49C3">
        <w:rPr>
          <w:rFonts w:cs="Arial"/>
        </w:rPr>
        <w:t xml:space="preserve">from </w:t>
      </w:r>
      <w:r w:rsidR="00664CBD" w:rsidRPr="726E49C3">
        <w:rPr>
          <w:rFonts w:cs="Arial"/>
        </w:rPr>
        <w:t>minority ethnic groups</w:t>
      </w:r>
      <w:r w:rsidR="00A61A0D" w:rsidRPr="726E49C3">
        <w:rPr>
          <w:rFonts w:cs="Arial"/>
        </w:rPr>
        <w:t xml:space="preserve"> is </w:t>
      </w:r>
      <w:r w:rsidR="006B72DA" w:rsidRPr="726E49C3">
        <w:rPr>
          <w:rFonts w:cs="Arial"/>
        </w:rPr>
        <w:t xml:space="preserve">relatively </w:t>
      </w:r>
      <w:r w:rsidR="003F130B" w:rsidRPr="726E49C3">
        <w:rPr>
          <w:rFonts w:cs="Arial"/>
        </w:rPr>
        <w:t xml:space="preserve">small, representing </w:t>
      </w:r>
      <w:r w:rsidR="00720766" w:rsidRPr="726E49C3">
        <w:rPr>
          <w:rFonts w:cs="Arial"/>
        </w:rPr>
        <w:t>14.</w:t>
      </w:r>
      <w:r w:rsidR="003C1DD5" w:rsidRPr="726E49C3">
        <w:rPr>
          <w:rFonts w:cs="Arial"/>
        </w:rPr>
        <w:t>8</w:t>
      </w:r>
      <w:r w:rsidR="00A61A0D" w:rsidRPr="726E49C3">
        <w:rPr>
          <w:rFonts w:cs="Arial"/>
        </w:rPr>
        <w:t xml:space="preserve">% of the workforce. </w:t>
      </w:r>
    </w:p>
    <w:p w14:paraId="39436258" w14:textId="1A0030CB" w:rsidR="007E72F2" w:rsidRDefault="007E72F2" w:rsidP="00DA4B0B">
      <w:pPr>
        <w:pStyle w:val="ListParagraph"/>
        <w:numPr>
          <w:ilvl w:val="0"/>
          <w:numId w:val="18"/>
        </w:numPr>
      </w:pPr>
      <w:r w:rsidRPr="002B3FBE">
        <w:t xml:space="preserve">The Council’s ethnicity pay gap details for the snapshot date of </w:t>
      </w:r>
      <w:r>
        <w:t>31st March 202</w:t>
      </w:r>
      <w:r w:rsidR="003C1DD5">
        <w:t>4</w:t>
      </w:r>
      <w:r w:rsidRPr="002B3FBE">
        <w:t xml:space="preserve"> are below:-</w:t>
      </w:r>
    </w:p>
    <w:tbl>
      <w:tblPr>
        <w:tblStyle w:val="TableGrid"/>
        <w:tblW w:w="0" w:type="auto"/>
        <w:tblInd w:w="421" w:type="dxa"/>
        <w:tblLook w:val="04A0" w:firstRow="1" w:lastRow="0" w:firstColumn="1" w:lastColumn="0" w:noHBand="0" w:noVBand="1"/>
      </w:tblPr>
      <w:tblGrid>
        <w:gridCol w:w="4834"/>
        <w:gridCol w:w="1817"/>
      </w:tblGrid>
      <w:tr w:rsidR="002A5B02" w:rsidRPr="0032325E" w14:paraId="239DD4DB" w14:textId="77777777" w:rsidTr="00841BD4">
        <w:trPr>
          <w:trHeight w:val="588"/>
        </w:trPr>
        <w:tc>
          <w:tcPr>
            <w:tcW w:w="6651" w:type="dxa"/>
            <w:gridSpan w:val="2"/>
          </w:tcPr>
          <w:p w14:paraId="69209FC2" w14:textId="3F707E0D" w:rsidR="002A5B02" w:rsidRPr="0032325E" w:rsidRDefault="002A5B02" w:rsidP="003B11B5">
            <w:pPr>
              <w:spacing w:before="120"/>
              <w:jc w:val="center"/>
              <w:rPr>
                <w:rFonts w:cs="Arial"/>
                <w:b/>
              </w:rPr>
            </w:pPr>
            <w:r w:rsidRPr="0032325E">
              <w:rPr>
                <w:rFonts w:cs="Arial"/>
                <w:b/>
              </w:rPr>
              <w:t>31 March 202</w:t>
            </w:r>
            <w:r w:rsidR="003C1DD5">
              <w:rPr>
                <w:rFonts w:cs="Arial"/>
                <w:b/>
              </w:rPr>
              <w:t>4</w:t>
            </w:r>
          </w:p>
        </w:tc>
      </w:tr>
      <w:tr w:rsidR="002A5B02" w:rsidRPr="0032325E" w14:paraId="7954E5EA" w14:textId="77777777" w:rsidTr="00841BD4">
        <w:trPr>
          <w:trHeight w:val="441"/>
        </w:trPr>
        <w:tc>
          <w:tcPr>
            <w:tcW w:w="4834" w:type="dxa"/>
            <w:tcBorders>
              <w:right w:val="nil"/>
            </w:tcBorders>
          </w:tcPr>
          <w:p w14:paraId="78FBA74D" w14:textId="77777777" w:rsidR="002A5B02" w:rsidRPr="0032325E" w:rsidRDefault="002A5B02" w:rsidP="003B11B5">
            <w:pPr>
              <w:spacing w:before="60" w:after="60"/>
              <w:rPr>
                <w:rFonts w:cs="Arial"/>
              </w:rPr>
            </w:pPr>
            <w:r w:rsidRPr="0032325E">
              <w:rPr>
                <w:rFonts w:cs="Arial"/>
              </w:rPr>
              <w:t>Mean ethnicity pay gap (basic pay)</w:t>
            </w:r>
          </w:p>
        </w:tc>
        <w:tc>
          <w:tcPr>
            <w:tcW w:w="1817" w:type="dxa"/>
            <w:tcBorders>
              <w:left w:val="nil"/>
            </w:tcBorders>
          </w:tcPr>
          <w:p w14:paraId="694E3BB1" w14:textId="5155E6AD" w:rsidR="002A5B02" w:rsidRPr="0032325E" w:rsidRDefault="003C1DD5" w:rsidP="009B3E93">
            <w:pPr>
              <w:spacing w:before="60" w:after="60"/>
              <w:jc w:val="center"/>
              <w:rPr>
                <w:rFonts w:cs="Arial"/>
              </w:rPr>
            </w:pPr>
            <w:r>
              <w:rPr>
                <w:rFonts w:cs="Arial"/>
              </w:rPr>
              <w:t>14</w:t>
            </w:r>
            <w:r w:rsidR="002A5B02" w:rsidRPr="0032325E">
              <w:rPr>
                <w:rFonts w:cs="Arial"/>
              </w:rPr>
              <w:t>%</w:t>
            </w:r>
          </w:p>
        </w:tc>
      </w:tr>
      <w:tr w:rsidR="002A5B02" w:rsidRPr="0032325E" w14:paraId="4BFA64AF" w14:textId="77777777" w:rsidTr="00841BD4">
        <w:trPr>
          <w:trHeight w:val="457"/>
        </w:trPr>
        <w:tc>
          <w:tcPr>
            <w:tcW w:w="4834" w:type="dxa"/>
            <w:tcBorders>
              <w:right w:val="nil"/>
            </w:tcBorders>
          </w:tcPr>
          <w:p w14:paraId="4905426F" w14:textId="77777777" w:rsidR="002A5B02" w:rsidRPr="0032325E" w:rsidRDefault="002A5B02" w:rsidP="003B11B5">
            <w:pPr>
              <w:spacing w:before="60" w:after="60"/>
              <w:rPr>
                <w:rFonts w:cs="Arial"/>
              </w:rPr>
            </w:pPr>
            <w:r w:rsidRPr="0032325E">
              <w:rPr>
                <w:rFonts w:cs="Arial"/>
              </w:rPr>
              <w:t>Median ethnicity pay gap (basic pay)</w:t>
            </w:r>
          </w:p>
        </w:tc>
        <w:tc>
          <w:tcPr>
            <w:tcW w:w="1817" w:type="dxa"/>
            <w:tcBorders>
              <w:left w:val="nil"/>
            </w:tcBorders>
          </w:tcPr>
          <w:p w14:paraId="69D2830C" w14:textId="0BB571AC" w:rsidR="002A5B02" w:rsidRPr="0032325E" w:rsidRDefault="003C1DD5" w:rsidP="009B3E93">
            <w:pPr>
              <w:spacing w:before="60" w:after="60"/>
              <w:jc w:val="center"/>
              <w:rPr>
                <w:rFonts w:cs="Arial"/>
              </w:rPr>
            </w:pPr>
            <w:r>
              <w:rPr>
                <w:rFonts w:cs="Arial"/>
              </w:rPr>
              <w:t>12</w:t>
            </w:r>
            <w:r w:rsidR="002A5B02" w:rsidRPr="0032325E">
              <w:rPr>
                <w:rFonts w:cs="Arial"/>
              </w:rPr>
              <w:t>%</w:t>
            </w:r>
          </w:p>
        </w:tc>
      </w:tr>
      <w:tr w:rsidR="002A5B02" w:rsidRPr="0032325E" w14:paraId="71026074" w14:textId="77777777" w:rsidTr="00841BD4">
        <w:trPr>
          <w:trHeight w:val="441"/>
        </w:trPr>
        <w:tc>
          <w:tcPr>
            <w:tcW w:w="4834" w:type="dxa"/>
            <w:tcBorders>
              <w:right w:val="nil"/>
            </w:tcBorders>
          </w:tcPr>
          <w:p w14:paraId="5FF57B0B" w14:textId="77777777" w:rsidR="002A5B02" w:rsidRPr="0032325E" w:rsidRDefault="002A5B02" w:rsidP="003B11B5">
            <w:pPr>
              <w:spacing w:before="60" w:after="60"/>
              <w:rPr>
                <w:rFonts w:cs="Arial"/>
              </w:rPr>
            </w:pPr>
            <w:r w:rsidRPr="0032325E">
              <w:rPr>
                <w:rFonts w:cs="Arial"/>
              </w:rPr>
              <w:t>Mean ethnicity bonus gap</w:t>
            </w:r>
          </w:p>
        </w:tc>
        <w:tc>
          <w:tcPr>
            <w:tcW w:w="1817" w:type="dxa"/>
            <w:tcBorders>
              <w:left w:val="nil"/>
            </w:tcBorders>
          </w:tcPr>
          <w:p w14:paraId="677E3D4B" w14:textId="77777777" w:rsidR="002A5B02" w:rsidRPr="0032325E" w:rsidRDefault="002A5B02" w:rsidP="003B11B5">
            <w:pPr>
              <w:spacing w:before="60" w:after="60"/>
              <w:jc w:val="center"/>
              <w:rPr>
                <w:rFonts w:cs="Arial"/>
                <w:color w:val="FF0000"/>
              </w:rPr>
            </w:pPr>
            <w:r w:rsidRPr="0032325E">
              <w:rPr>
                <w:rFonts w:cs="Arial"/>
              </w:rPr>
              <w:t>0%</w:t>
            </w:r>
          </w:p>
        </w:tc>
      </w:tr>
      <w:tr w:rsidR="002A5B02" w:rsidRPr="0032325E" w14:paraId="3838C35F" w14:textId="77777777" w:rsidTr="00841BD4">
        <w:trPr>
          <w:trHeight w:val="457"/>
        </w:trPr>
        <w:tc>
          <w:tcPr>
            <w:tcW w:w="4834" w:type="dxa"/>
            <w:tcBorders>
              <w:right w:val="nil"/>
            </w:tcBorders>
          </w:tcPr>
          <w:p w14:paraId="033B25CD" w14:textId="77777777" w:rsidR="002A5B02" w:rsidRPr="0032325E" w:rsidRDefault="002A5B02" w:rsidP="003B11B5">
            <w:pPr>
              <w:spacing w:before="60" w:after="60"/>
              <w:rPr>
                <w:rFonts w:cs="Arial"/>
              </w:rPr>
            </w:pPr>
            <w:r w:rsidRPr="0032325E">
              <w:rPr>
                <w:rFonts w:cs="Arial"/>
              </w:rPr>
              <w:t>Median ethnicity bonus gap</w:t>
            </w:r>
          </w:p>
        </w:tc>
        <w:tc>
          <w:tcPr>
            <w:tcW w:w="1817" w:type="dxa"/>
            <w:tcBorders>
              <w:left w:val="nil"/>
            </w:tcBorders>
          </w:tcPr>
          <w:p w14:paraId="0F25CD11" w14:textId="77777777" w:rsidR="002A5B02" w:rsidRPr="0032325E" w:rsidRDefault="002A5B02" w:rsidP="003B11B5">
            <w:pPr>
              <w:spacing w:before="60" w:after="60"/>
              <w:jc w:val="center"/>
              <w:rPr>
                <w:rFonts w:cs="Arial"/>
              </w:rPr>
            </w:pPr>
            <w:r w:rsidRPr="0032325E">
              <w:rPr>
                <w:rFonts w:cs="Arial"/>
              </w:rPr>
              <w:t>0%</w:t>
            </w:r>
          </w:p>
        </w:tc>
      </w:tr>
    </w:tbl>
    <w:p w14:paraId="11AD9C01" w14:textId="77777777" w:rsidR="00731019" w:rsidRPr="0032325E" w:rsidRDefault="00731019" w:rsidP="00731019">
      <w:pPr>
        <w:pStyle w:val="ListParagraph"/>
        <w:numPr>
          <w:ilvl w:val="0"/>
          <w:numId w:val="0"/>
        </w:numPr>
        <w:ind w:left="360"/>
      </w:pPr>
    </w:p>
    <w:p w14:paraId="4C467B46" w14:textId="77777777" w:rsidR="007E72F2" w:rsidRPr="0032325E" w:rsidRDefault="007E72F2" w:rsidP="007E72F2">
      <w:pPr>
        <w:pStyle w:val="NoSpacing"/>
        <w:ind w:left="360" w:hanging="360"/>
        <w:rPr>
          <w:rFonts w:cs="Arial"/>
          <w:b/>
          <w:lang w:eastAsia="en-GB"/>
        </w:rPr>
      </w:pPr>
      <w:r w:rsidRPr="0032325E">
        <w:rPr>
          <w:rFonts w:cs="Arial"/>
          <w:b/>
          <w:lang w:eastAsia="en-GB"/>
        </w:rPr>
        <w:t xml:space="preserve">Pay quartiles by Ethnicity </w:t>
      </w:r>
    </w:p>
    <w:tbl>
      <w:tblPr>
        <w:tblStyle w:val="TableGrid"/>
        <w:tblW w:w="0" w:type="auto"/>
        <w:tblInd w:w="421" w:type="dxa"/>
        <w:tblLook w:val="04A0" w:firstRow="1" w:lastRow="0" w:firstColumn="1" w:lastColumn="0" w:noHBand="0" w:noVBand="1"/>
      </w:tblPr>
      <w:tblGrid>
        <w:gridCol w:w="1978"/>
        <w:gridCol w:w="2221"/>
        <w:gridCol w:w="2408"/>
      </w:tblGrid>
      <w:tr w:rsidR="002A5B02" w:rsidRPr="0032325E" w14:paraId="6D8A7532" w14:textId="77777777" w:rsidTr="00215488">
        <w:tc>
          <w:tcPr>
            <w:tcW w:w="1978" w:type="dxa"/>
            <w:tcBorders>
              <w:top w:val="single" w:sz="4" w:space="0" w:color="auto"/>
              <w:bottom w:val="single" w:sz="4" w:space="0" w:color="auto"/>
            </w:tcBorders>
          </w:tcPr>
          <w:p w14:paraId="46F40D03" w14:textId="77777777" w:rsidR="002A5B02" w:rsidRPr="0032325E" w:rsidRDefault="002A5B02" w:rsidP="003B11B5">
            <w:pPr>
              <w:spacing w:before="60" w:after="60"/>
              <w:rPr>
                <w:rFonts w:cs="Arial"/>
                <w:b/>
              </w:rPr>
            </w:pPr>
            <w:r w:rsidRPr="0032325E">
              <w:rPr>
                <w:rFonts w:cs="Arial"/>
                <w:b/>
              </w:rPr>
              <w:t>Quartile</w:t>
            </w:r>
          </w:p>
        </w:tc>
        <w:tc>
          <w:tcPr>
            <w:tcW w:w="2221" w:type="dxa"/>
            <w:tcBorders>
              <w:top w:val="single" w:sz="4" w:space="0" w:color="auto"/>
              <w:bottom w:val="single" w:sz="4" w:space="0" w:color="auto"/>
            </w:tcBorders>
          </w:tcPr>
          <w:p w14:paraId="1BA40B1A" w14:textId="77777777" w:rsidR="002A5B02" w:rsidRPr="0032325E" w:rsidRDefault="00664CBD" w:rsidP="00664CBD">
            <w:pPr>
              <w:spacing w:before="60" w:after="60"/>
              <w:jc w:val="center"/>
              <w:rPr>
                <w:rFonts w:cs="Arial"/>
                <w:b/>
              </w:rPr>
            </w:pPr>
            <w:r w:rsidRPr="0032325E">
              <w:rPr>
                <w:rFonts w:cs="Arial"/>
                <w:b/>
              </w:rPr>
              <w:t>Minority Ethnic Groups</w:t>
            </w:r>
            <w:r w:rsidR="002A5B02" w:rsidRPr="0032325E">
              <w:rPr>
                <w:rFonts w:cs="Arial"/>
                <w:b/>
              </w:rPr>
              <w:t xml:space="preserve"> %</w:t>
            </w:r>
          </w:p>
        </w:tc>
        <w:tc>
          <w:tcPr>
            <w:tcW w:w="2408" w:type="dxa"/>
            <w:tcBorders>
              <w:top w:val="single" w:sz="4" w:space="0" w:color="auto"/>
              <w:bottom w:val="single" w:sz="4" w:space="0" w:color="auto"/>
            </w:tcBorders>
          </w:tcPr>
          <w:p w14:paraId="7F4AA435" w14:textId="77777777" w:rsidR="002A5B02" w:rsidRPr="0032325E" w:rsidRDefault="002A5B02" w:rsidP="003B11B5">
            <w:pPr>
              <w:spacing w:before="60" w:after="60"/>
              <w:jc w:val="center"/>
              <w:rPr>
                <w:rFonts w:cs="Arial"/>
                <w:b/>
              </w:rPr>
            </w:pPr>
            <w:r w:rsidRPr="0032325E">
              <w:rPr>
                <w:rFonts w:cs="Arial"/>
                <w:b/>
              </w:rPr>
              <w:t>White %</w:t>
            </w:r>
          </w:p>
        </w:tc>
      </w:tr>
      <w:tr w:rsidR="009B3E93" w:rsidRPr="0032325E" w14:paraId="01C8B164" w14:textId="77777777" w:rsidTr="003B11B5">
        <w:tc>
          <w:tcPr>
            <w:tcW w:w="1978" w:type="dxa"/>
            <w:tcBorders>
              <w:top w:val="single" w:sz="4" w:space="0" w:color="auto"/>
              <w:bottom w:val="single" w:sz="4" w:space="0" w:color="auto"/>
            </w:tcBorders>
          </w:tcPr>
          <w:p w14:paraId="73BEE763" w14:textId="77777777" w:rsidR="009B3E93" w:rsidRPr="0032325E" w:rsidRDefault="009B3E93" w:rsidP="009B3E93">
            <w:pPr>
              <w:spacing w:before="60" w:after="60"/>
              <w:rPr>
                <w:rFonts w:cs="Arial"/>
              </w:rPr>
            </w:pPr>
            <w:r w:rsidRPr="0032325E">
              <w:rPr>
                <w:rFonts w:cs="Arial"/>
              </w:rPr>
              <w:t>Top</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tcPr>
          <w:p w14:paraId="7DBFB447" w14:textId="3510B3F5" w:rsidR="009B3E93" w:rsidRPr="0032325E" w:rsidRDefault="003C1DD5" w:rsidP="009B3E93">
            <w:pPr>
              <w:jc w:val="center"/>
              <w:rPr>
                <w:rFonts w:cs="Arial"/>
              </w:rPr>
            </w:pPr>
            <w:r>
              <w:rPr>
                <w:rFonts w:ascii="Helvetica" w:hAnsi="Helvetica" w:cs="Helvetica"/>
                <w:color w:val="2D3547"/>
                <w:shd w:val="clear" w:color="auto" w:fill="F5F5F7"/>
              </w:rPr>
              <w:t>8.44</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bottom"/>
          </w:tcPr>
          <w:p w14:paraId="3E73F69D" w14:textId="60856047" w:rsidR="009B3E93" w:rsidRPr="0032325E" w:rsidRDefault="003C1DD5" w:rsidP="009B3E93">
            <w:pPr>
              <w:jc w:val="center"/>
              <w:rPr>
                <w:rFonts w:cs="Arial"/>
              </w:rPr>
            </w:pPr>
            <w:r>
              <w:rPr>
                <w:rFonts w:ascii="Helvetica" w:hAnsi="Helvetica" w:cs="Helvetica"/>
                <w:color w:val="2D3547"/>
                <w:shd w:val="clear" w:color="auto" w:fill="F5F5F7"/>
              </w:rPr>
              <w:t>91.56</w:t>
            </w:r>
          </w:p>
        </w:tc>
      </w:tr>
      <w:tr w:rsidR="009B3E93" w:rsidRPr="0032325E" w14:paraId="005EF17B" w14:textId="77777777" w:rsidTr="003B11B5">
        <w:tc>
          <w:tcPr>
            <w:tcW w:w="1978" w:type="dxa"/>
            <w:tcBorders>
              <w:top w:val="single" w:sz="4" w:space="0" w:color="auto"/>
              <w:bottom w:val="single" w:sz="4" w:space="0" w:color="auto"/>
            </w:tcBorders>
          </w:tcPr>
          <w:p w14:paraId="0B4A0054" w14:textId="77777777" w:rsidR="009B3E93" w:rsidRPr="0032325E" w:rsidRDefault="009B3E93" w:rsidP="009B3E93">
            <w:pPr>
              <w:spacing w:before="60" w:after="60"/>
              <w:rPr>
                <w:rFonts w:cs="Arial"/>
              </w:rPr>
            </w:pPr>
            <w:r w:rsidRPr="0032325E">
              <w:rPr>
                <w:rFonts w:cs="Arial"/>
              </w:rPr>
              <w:t>Upper Middle</w:t>
            </w:r>
          </w:p>
        </w:tc>
        <w:tc>
          <w:tcPr>
            <w:tcW w:w="2221" w:type="dxa"/>
            <w:tcBorders>
              <w:top w:val="nil"/>
              <w:left w:val="single" w:sz="4" w:space="0" w:color="auto"/>
              <w:bottom w:val="single" w:sz="4" w:space="0" w:color="auto"/>
              <w:right w:val="single" w:sz="4" w:space="0" w:color="auto"/>
            </w:tcBorders>
            <w:shd w:val="clear" w:color="auto" w:fill="auto"/>
            <w:vAlign w:val="bottom"/>
          </w:tcPr>
          <w:p w14:paraId="30FB566F" w14:textId="6875F46D" w:rsidR="009B3E93" w:rsidRPr="0032325E" w:rsidRDefault="003C1DD5" w:rsidP="009B3E93">
            <w:pPr>
              <w:jc w:val="center"/>
              <w:rPr>
                <w:rFonts w:cs="Arial"/>
              </w:rPr>
            </w:pPr>
            <w:r>
              <w:rPr>
                <w:rFonts w:ascii="Helvetica" w:hAnsi="Helvetica" w:cs="Helvetica"/>
                <w:color w:val="2D3547"/>
                <w:shd w:val="clear" w:color="auto" w:fill="F5F5F7"/>
              </w:rPr>
              <w:t>13.56</w:t>
            </w:r>
          </w:p>
        </w:tc>
        <w:tc>
          <w:tcPr>
            <w:tcW w:w="2408" w:type="dxa"/>
            <w:tcBorders>
              <w:top w:val="nil"/>
              <w:left w:val="single" w:sz="4" w:space="0" w:color="auto"/>
              <w:bottom w:val="single" w:sz="4" w:space="0" w:color="auto"/>
              <w:right w:val="single" w:sz="4" w:space="0" w:color="auto"/>
            </w:tcBorders>
            <w:shd w:val="clear" w:color="auto" w:fill="auto"/>
            <w:vAlign w:val="bottom"/>
          </w:tcPr>
          <w:p w14:paraId="352FA879" w14:textId="7C9DFA99" w:rsidR="009B3E93" w:rsidRPr="0032325E" w:rsidRDefault="003C1DD5" w:rsidP="009B3E93">
            <w:pPr>
              <w:jc w:val="center"/>
              <w:rPr>
                <w:rFonts w:cs="Arial"/>
              </w:rPr>
            </w:pPr>
            <w:r>
              <w:rPr>
                <w:rFonts w:ascii="Helvetica" w:hAnsi="Helvetica" w:cs="Helvetica"/>
                <w:color w:val="2D3547"/>
                <w:shd w:val="clear" w:color="auto" w:fill="F5F5F7"/>
              </w:rPr>
              <w:t>86.44</w:t>
            </w:r>
          </w:p>
        </w:tc>
      </w:tr>
      <w:tr w:rsidR="009B3E93" w:rsidRPr="0032325E" w14:paraId="557641C2" w14:textId="77777777" w:rsidTr="003B11B5">
        <w:tc>
          <w:tcPr>
            <w:tcW w:w="1978" w:type="dxa"/>
            <w:tcBorders>
              <w:top w:val="single" w:sz="4" w:space="0" w:color="auto"/>
              <w:bottom w:val="single" w:sz="4" w:space="0" w:color="auto"/>
            </w:tcBorders>
          </w:tcPr>
          <w:p w14:paraId="5562AA67" w14:textId="77777777" w:rsidR="009B3E93" w:rsidRPr="0032325E" w:rsidRDefault="009B3E93" w:rsidP="009B3E93">
            <w:pPr>
              <w:spacing w:before="60" w:after="60"/>
              <w:rPr>
                <w:rFonts w:cs="Arial"/>
              </w:rPr>
            </w:pPr>
            <w:r w:rsidRPr="0032325E">
              <w:rPr>
                <w:rFonts w:cs="Arial"/>
              </w:rPr>
              <w:t>Lower Middle</w:t>
            </w:r>
          </w:p>
        </w:tc>
        <w:tc>
          <w:tcPr>
            <w:tcW w:w="2221" w:type="dxa"/>
            <w:tcBorders>
              <w:top w:val="nil"/>
              <w:left w:val="single" w:sz="4" w:space="0" w:color="auto"/>
              <w:bottom w:val="single" w:sz="4" w:space="0" w:color="auto"/>
              <w:right w:val="single" w:sz="4" w:space="0" w:color="auto"/>
            </w:tcBorders>
            <w:shd w:val="clear" w:color="auto" w:fill="auto"/>
            <w:vAlign w:val="bottom"/>
          </w:tcPr>
          <w:p w14:paraId="453001C8" w14:textId="35837E3F" w:rsidR="009B3E93" w:rsidRPr="0032325E" w:rsidRDefault="003C1DD5" w:rsidP="009B3E93">
            <w:pPr>
              <w:jc w:val="center"/>
              <w:rPr>
                <w:rFonts w:cs="Arial"/>
              </w:rPr>
            </w:pPr>
            <w:r>
              <w:rPr>
                <w:rFonts w:ascii="Helvetica" w:hAnsi="Helvetica" w:cs="Helvetica"/>
                <w:color w:val="2D3547"/>
                <w:shd w:val="clear" w:color="auto" w:fill="F5F5F7"/>
              </w:rPr>
              <w:t>21.71</w:t>
            </w:r>
          </w:p>
        </w:tc>
        <w:tc>
          <w:tcPr>
            <w:tcW w:w="2408" w:type="dxa"/>
            <w:tcBorders>
              <w:top w:val="nil"/>
              <w:left w:val="single" w:sz="4" w:space="0" w:color="auto"/>
              <w:bottom w:val="single" w:sz="4" w:space="0" w:color="auto"/>
              <w:right w:val="single" w:sz="4" w:space="0" w:color="auto"/>
            </w:tcBorders>
            <w:shd w:val="clear" w:color="auto" w:fill="auto"/>
            <w:vAlign w:val="bottom"/>
          </w:tcPr>
          <w:p w14:paraId="5DC1235B" w14:textId="7DECA529" w:rsidR="009B3E93" w:rsidRPr="0032325E" w:rsidRDefault="003C1DD5" w:rsidP="009B3E93">
            <w:pPr>
              <w:jc w:val="center"/>
              <w:rPr>
                <w:rFonts w:cs="Arial"/>
              </w:rPr>
            </w:pPr>
            <w:r>
              <w:rPr>
                <w:rFonts w:ascii="Helvetica" w:hAnsi="Helvetica" w:cs="Helvetica"/>
                <w:color w:val="2D3547"/>
                <w:shd w:val="clear" w:color="auto" w:fill="F5F5F7"/>
              </w:rPr>
              <w:t>78.29</w:t>
            </w:r>
          </w:p>
        </w:tc>
      </w:tr>
      <w:tr w:rsidR="009B3E93" w:rsidRPr="00C93368" w14:paraId="3EB1DABC" w14:textId="77777777" w:rsidTr="003B11B5">
        <w:tc>
          <w:tcPr>
            <w:tcW w:w="1978" w:type="dxa"/>
            <w:tcBorders>
              <w:top w:val="single" w:sz="4" w:space="0" w:color="auto"/>
              <w:bottom w:val="single" w:sz="4" w:space="0" w:color="auto"/>
            </w:tcBorders>
          </w:tcPr>
          <w:p w14:paraId="34C5984D" w14:textId="77777777" w:rsidR="009B3E93" w:rsidRPr="0032325E" w:rsidRDefault="009B3E93" w:rsidP="009B3E93">
            <w:pPr>
              <w:spacing w:before="60" w:after="60"/>
              <w:rPr>
                <w:rFonts w:cs="Arial"/>
              </w:rPr>
            </w:pPr>
            <w:r w:rsidRPr="0032325E">
              <w:rPr>
                <w:rFonts w:cs="Arial"/>
              </w:rPr>
              <w:t>Lower</w:t>
            </w:r>
          </w:p>
        </w:tc>
        <w:tc>
          <w:tcPr>
            <w:tcW w:w="2221" w:type="dxa"/>
            <w:tcBorders>
              <w:top w:val="nil"/>
              <w:left w:val="single" w:sz="4" w:space="0" w:color="auto"/>
              <w:bottom w:val="single" w:sz="4" w:space="0" w:color="auto"/>
              <w:right w:val="single" w:sz="4" w:space="0" w:color="auto"/>
            </w:tcBorders>
            <w:shd w:val="clear" w:color="auto" w:fill="auto"/>
            <w:vAlign w:val="bottom"/>
          </w:tcPr>
          <w:p w14:paraId="1B70A03C" w14:textId="59251F61" w:rsidR="009B3E93" w:rsidRPr="0032325E" w:rsidRDefault="003C1DD5" w:rsidP="009B3E93">
            <w:pPr>
              <w:jc w:val="center"/>
              <w:rPr>
                <w:rFonts w:cs="Arial"/>
              </w:rPr>
            </w:pPr>
            <w:r>
              <w:rPr>
                <w:rFonts w:ascii="Helvetica" w:hAnsi="Helvetica" w:cs="Helvetica"/>
                <w:color w:val="2D3547"/>
                <w:shd w:val="clear" w:color="auto" w:fill="F5F5F7"/>
              </w:rPr>
              <w:t>22.84</w:t>
            </w:r>
          </w:p>
        </w:tc>
        <w:tc>
          <w:tcPr>
            <w:tcW w:w="2408" w:type="dxa"/>
            <w:tcBorders>
              <w:top w:val="nil"/>
              <w:left w:val="single" w:sz="4" w:space="0" w:color="auto"/>
              <w:bottom w:val="single" w:sz="4" w:space="0" w:color="auto"/>
              <w:right w:val="single" w:sz="4" w:space="0" w:color="auto"/>
            </w:tcBorders>
            <w:shd w:val="clear" w:color="auto" w:fill="auto"/>
            <w:vAlign w:val="bottom"/>
          </w:tcPr>
          <w:p w14:paraId="4ABFE49B" w14:textId="2C8EFF9E" w:rsidR="009B3E93" w:rsidRPr="0032325E" w:rsidRDefault="003C1DD5" w:rsidP="009B3E93">
            <w:pPr>
              <w:jc w:val="center"/>
              <w:rPr>
                <w:rFonts w:cs="Arial"/>
              </w:rPr>
            </w:pPr>
            <w:r>
              <w:rPr>
                <w:rFonts w:ascii="Helvetica" w:hAnsi="Helvetica" w:cs="Helvetica"/>
                <w:color w:val="2D3547"/>
                <w:shd w:val="clear" w:color="auto" w:fill="F5F5F7"/>
              </w:rPr>
              <w:t>77.16</w:t>
            </w:r>
          </w:p>
        </w:tc>
      </w:tr>
    </w:tbl>
    <w:p w14:paraId="482142A0" w14:textId="77777777" w:rsidR="007E72F2" w:rsidRDefault="007E72F2" w:rsidP="007E72F2">
      <w:pPr>
        <w:pStyle w:val="ListParagraph"/>
        <w:numPr>
          <w:ilvl w:val="0"/>
          <w:numId w:val="0"/>
        </w:numPr>
        <w:ind w:left="360"/>
      </w:pPr>
    </w:p>
    <w:p w14:paraId="3F05D648" w14:textId="0AA39E1E" w:rsidR="00680124" w:rsidRDefault="003C659D" w:rsidP="00DA4B0B">
      <w:pPr>
        <w:pStyle w:val="ListParagraph"/>
        <w:numPr>
          <w:ilvl w:val="0"/>
          <w:numId w:val="18"/>
        </w:numPr>
      </w:pPr>
      <w:r>
        <w:t xml:space="preserve"> </w:t>
      </w:r>
      <w:r w:rsidR="00680124">
        <w:t xml:space="preserve">Comparisons between the Ethnicity Pay </w:t>
      </w:r>
      <w:r w:rsidR="00841BD4">
        <w:t xml:space="preserve">Gap </w:t>
      </w:r>
      <w:r w:rsidR="00680124">
        <w:t>as at 31</w:t>
      </w:r>
      <w:r w:rsidR="00680124" w:rsidRPr="005968F7">
        <w:rPr>
          <w:vertAlign w:val="superscript"/>
        </w:rPr>
        <w:t>st</w:t>
      </w:r>
      <w:r w:rsidR="00680124">
        <w:t xml:space="preserve"> March 202</w:t>
      </w:r>
      <w:r w:rsidR="003C1DD5">
        <w:t>3</w:t>
      </w:r>
      <w:r w:rsidR="00680124">
        <w:t xml:space="preserve"> and 31</w:t>
      </w:r>
      <w:r w:rsidR="00680124" w:rsidRPr="005968F7">
        <w:rPr>
          <w:vertAlign w:val="superscript"/>
        </w:rPr>
        <w:t>st</w:t>
      </w:r>
      <w:r w:rsidR="00680124">
        <w:t xml:space="preserve"> March 202</w:t>
      </w:r>
      <w:r w:rsidR="003C1DD5">
        <w:t>4</w:t>
      </w:r>
      <w:r w:rsidR="00680124">
        <w:t xml:space="preserve"> shows that:</w:t>
      </w:r>
    </w:p>
    <w:p w14:paraId="5DFA600C" w14:textId="6BD0C636" w:rsidR="00680124" w:rsidRDefault="00680124" w:rsidP="00DA4B0B">
      <w:pPr>
        <w:pStyle w:val="ListParagraph"/>
        <w:numPr>
          <w:ilvl w:val="0"/>
          <w:numId w:val="13"/>
        </w:numPr>
      </w:pPr>
      <w:r>
        <w:t xml:space="preserve">The mean ethnicity pay gap has </w:t>
      </w:r>
      <w:r w:rsidR="003745F3">
        <w:t>increased</w:t>
      </w:r>
      <w:r>
        <w:t xml:space="preserve"> from </w:t>
      </w:r>
      <w:r w:rsidR="003745F3">
        <w:t>10.8</w:t>
      </w:r>
      <w:r>
        <w:t>% in March 202</w:t>
      </w:r>
      <w:r w:rsidR="003745F3">
        <w:t>3</w:t>
      </w:r>
      <w:r>
        <w:t xml:space="preserve"> to </w:t>
      </w:r>
      <w:r w:rsidR="002A5B02">
        <w:t>1</w:t>
      </w:r>
      <w:r w:rsidR="003745F3">
        <w:t>4</w:t>
      </w:r>
      <w:r>
        <w:t>% in March 202</w:t>
      </w:r>
      <w:r w:rsidR="003745F3">
        <w:t>4</w:t>
      </w:r>
      <w:r w:rsidR="00A53EF2">
        <w:t xml:space="preserve">.  </w:t>
      </w:r>
    </w:p>
    <w:p w14:paraId="694388AB" w14:textId="20556F3F" w:rsidR="00680124" w:rsidRDefault="00680124" w:rsidP="00DA4B0B">
      <w:pPr>
        <w:pStyle w:val="ListParagraph"/>
        <w:numPr>
          <w:ilvl w:val="0"/>
          <w:numId w:val="13"/>
        </w:numPr>
      </w:pPr>
      <w:r>
        <w:t xml:space="preserve">The median ethnicity pay gap </w:t>
      </w:r>
      <w:r w:rsidR="000C1B1D">
        <w:t>has increased from 11.6% to</w:t>
      </w:r>
      <w:r w:rsidR="003745F3">
        <w:t xml:space="preserve"> 12</w:t>
      </w:r>
      <w:r>
        <w:t>%</w:t>
      </w:r>
      <w:r w:rsidR="002A5B02">
        <w:t>.</w:t>
      </w:r>
    </w:p>
    <w:p w14:paraId="5EDEFFEE" w14:textId="07EA157F" w:rsidR="00680124" w:rsidRDefault="00680124" w:rsidP="00DA4B0B">
      <w:pPr>
        <w:pStyle w:val="ListParagraph"/>
        <w:numPr>
          <w:ilvl w:val="0"/>
          <w:numId w:val="13"/>
        </w:numPr>
        <w:spacing w:line="240" w:lineRule="auto"/>
      </w:pPr>
      <w:r>
        <w:t>T</w:t>
      </w:r>
      <w:r w:rsidRPr="00485210">
        <w:t xml:space="preserve">he representation of </w:t>
      </w:r>
      <w:r w:rsidR="00C733D7">
        <w:t>minorit</w:t>
      </w:r>
      <w:r w:rsidR="00664CBD">
        <w:t>y ethnic groups</w:t>
      </w:r>
      <w:r w:rsidR="003745F3">
        <w:t xml:space="preserve"> has decreased</w:t>
      </w:r>
      <w:r w:rsidR="00C733D7">
        <w:t xml:space="preserve"> </w:t>
      </w:r>
      <w:r w:rsidR="00AB10BE">
        <w:t>in the top and lower middle</w:t>
      </w:r>
      <w:r w:rsidR="00C733D7">
        <w:t xml:space="preserve"> quartiles</w:t>
      </w:r>
      <w:r w:rsidR="00AB10BE">
        <w:t xml:space="preserve"> and </w:t>
      </w:r>
      <w:r w:rsidR="00F57D52">
        <w:t xml:space="preserve">increased </w:t>
      </w:r>
      <w:r w:rsidR="00AB10BE">
        <w:t>in the other two</w:t>
      </w:r>
      <w:r w:rsidR="00841BD4">
        <w:t>.</w:t>
      </w:r>
      <w:r w:rsidR="00C733D7">
        <w:t xml:space="preserve"> </w:t>
      </w:r>
    </w:p>
    <w:p w14:paraId="2C0D384F" w14:textId="41F58AE3" w:rsidR="002817B1" w:rsidRDefault="003C659D" w:rsidP="00DA4B0B">
      <w:pPr>
        <w:pStyle w:val="ListParagraph"/>
        <w:numPr>
          <w:ilvl w:val="0"/>
          <w:numId w:val="18"/>
        </w:numPr>
        <w:rPr>
          <w:rFonts w:cs="Arial"/>
        </w:rPr>
      </w:pPr>
      <w:r>
        <w:rPr>
          <w:rFonts w:cs="Arial"/>
        </w:rPr>
        <w:t xml:space="preserve"> </w:t>
      </w:r>
      <w:r w:rsidR="00AB10BE">
        <w:rPr>
          <w:rFonts w:cs="Arial"/>
        </w:rPr>
        <w:t xml:space="preserve">The non-reporting of </w:t>
      </w:r>
      <w:r w:rsidR="00841BD4">
        <w:rPr>
          <w:rFonts w:cs="Arial"/>
        </w:rPr>
        <w:t xml:space="preserve">personal </w:t>
      </w:r>
      <w:r w:rsidR="00844F48">
        <w:rPr>
          <w:rFonts w:cs="Arial"/>
        </w:rPr>
        <w:t>information</w:t>
      </w:r>
      <w:r w:rsidR="00AB10BE">
        <w:rPr>
          <w:rFonts w:cs="Arial"/>
        </w:rPr>
        <w:t xml:space="preserve"> impacts the reliability of th</w:t>
      </w:r>
      <w:r w:rsidR="00844F48">
        <w:rPr>
          <w:rFonts w:cs="Arial"/>
        </w:rPr>
        <w:t>is</w:t>
      </w:r>
      <w:r w:rsidR="00AB10BE">
        <w:rPr>
          <w:rFonts w:cs="Arial"/>
        </w:rPr>
        <w:t xml:space="preserve"> data. 13.</w:t>
      </w:r>
      <w:r w:rsidR="003745F3">
        <w:rPr>
          <w:rFonts w:cs="Arial"/>
        </w:rPr>
        <w:t>4</w:t>
      </w:r>
      <w:r w:rsidR="00AB10BE">
        <w:rPr>
          <w:rFonts w:cs="Arial"/>
        </w:rPr>
        <w:t>5% of the whole workforce ha</w:t>
      </w:r>
      <w:r w:rsidR="00AE3101">
        <w:rPr>
          <w:rFonts w:cs="Arial"/>
        </w:rPr>
        <w:t xml:space="preserve">s </w:t>
      </w:r>
      <w:r w:rsidR="00AB10BE">
        <w:rPr>
          <w:rFonts w:cs="Arial"/>
        </w:rPr>
        <w:t xml:space="preserve">not declared information. </w:t>
      </w:r>
    </w:p>
    <w:p w14:paraId="3BEC4D5E" w14:textId="77777777" w:rsidR="00BE2AB3" w:rsidRDefault="00BE2AB3" w:rsidP="00BE2AB3">
      <w:pPr>
        <w:pStyle w:val="ListParagraph"/>
        <w:numPr>
          <w:ilvl w:val="0"/>
          <w:numId w:val="0"/>
        </w:numPr>
        <w:ind w:left="340"/>
        <w:rPr>
          <w:rFonts w:cs="Arial"/>
        </w:rPr>
      </w:pPr>
    </w:p>
    <w:p w14:paraId="1AB4BB4B" w14:textId="77777777" w:rsidR="00C434AC" w:rsidRPr="00537BC9" w:rsidRDefault="00C434AC" w:rsidP="00BE2AB3">
      <w:pPr>
        <w:pStyle w:val="ListParagraph"/>
        <w:numPr>
          <w:ilvl w:val="0"/>
          <w:numId w:val="0"/>
        </w:numPr>
        <w:ind w:left="340"/>
        <w:rPr>
          <w:rFonts w:cs="Arial"/>
        </w:rPr>
      </w:pPr>
    </w:p>
    <w:p w14:paraId="3E0F2683" w14:textId="77777777" w:rsidR="009E382D" w:rsidRPr="008A287A" w:rsidRDefault="009E382D" w:rsidP="009E382D">
      <w:pPr>
        <w:rPr>
          <w:rStyle w:val="Firstpagetablebold"/>
        </w:rPr>
      </w:pPr>
      <w:r w:rsidRPr="00644945">
        <w:rPr>
          <w:rStyle w:val="Firstpagetablebold"/>
        </w:rPr>
        <w:lastRenderedPageBreak/>
        <w:t>DISABILITY PAY GAP</w:t>
      </w:r>
    </w:p>
    <w:p w14:paraId="66454621" w14:textId="718832EB" w:rsidR="009E382D" w:rsidRDefault="003C659D" w:rsidP="00DA4B0B">
      <w:pPr>
        <w:pStyle w:val="ListParagraph"/>
        <w:numPr>
          <w:ilvl w:val="0"/>
          <w:numId w:val="18"/>
        </w:numPr>
        <w:rPr>
          <w:rStyle w:val="Firstpagetablebold"/>
          <w:b w:val="0"/>
        </w:rPr>
      </w:pPr>
      <w:r>
        <w:rPr>
          <w:rStyle w:val="Firstpagetablebold"/>
          <w:b w:val="0"/>
        </w:rPr>
        <w:t xml:space="preserve"> </w:t>
      </w:r>
      <w:r w:rsidR="00215488">
        <w:rPr>
          <w:rStyle w:val="Firstpagetablebold"/>
          <w:b w:val="0"/>
        </w:rPr>
        <w:t xml:space="preserve">This is the </w:t>
      </w:r>
      <w:r w:rsidR="00F65A22">
        <w:rPr>
          <w:rStyle w:val="Firstpagetablebold"/>
          <w:b w:val="0"/>
        </w:rPr>
        <w:t xml:space="preserve">fourth </w:t>
      </w:r>
      <w:r w:rsidR="00215488">
        <w:rPr>
          <w:rStyle w:val="Firstpagetablebold"/>
          <w:b w:val="0"/>
        </w:rPr>
        <w:t>year that</w:t>
      </w:r>
      <w:r w:rsidR="003F130B">
        <w:rPr>
          <w:rStyle w:val="Firstpagetablebold"/>
          <w:b w:val="0"/>
        </w:rPr>
        <w:t xml:space="preserve"> the Council has reviewed its disability pay gap. </w:t>
      </w:r>
      <w:r w:rsidR="009E382D" w:rsidRPr="008A287A">
        <w:rPr>
          <w:rStyle w:val="Firstpagetablebold"/>
          <w:b w:val="0"/>
        </w:rPr>
        <w:t xml:space="preserve">The methodology </w:t>
      </w:r>
      <w:r w:rsidR="003F130B">
        <w:rPr>
          <w:rStyle w:val="Firstpagetablebold"/>
          <w:b w:val="0"/>
        </w:rPr>
        <w:t xml:space="preserve">used is the same as that </w:t>
      </w:r>
      <w:r w:rsidR="009E382D" w:rsidRPr="008A287A">
        <w:rPr>
          <w:rStyle w:val="Firstpagetablebold"/>
          <w:b w:val="0"/>
        </w:rPr>
        <w:t>already used for the gender and ethnicity pay gap reporting.</w:t>
      </w:r>
    </w:p>
    <w:p w14:paraId="0AA05854" w14:textId="111650CB" w:rsidR="003F130B" w:rsidRPr="00E46A65" w:rsidRDefault="00FB6B66" w:rsidP="00DA4B0B">
      <w:pPr>
        <w:pStyle w:val="ListParagraph"/>
        <w:numPr>
          <w:ilvl w:val="0"/>
          <w:numId w:val="18"/>
        </w:numPr>
      </w:pPr>
      <w:r>
        <w:rPr>
          <w:rFonts w:cs="Arial"/>
        </w:rPr>
        <w:t xml:space="preserve"> </w:t>
      </w:r>
      <w:r w:rsidR="003F130B" w:rsidRPr="00BE7013">
        <w:rPr>
          <w:rFonts w:cs="Arial"/>
        </w:rPr>
        <w:t xml:space="preserve">The provision of </w:t>
      </w:r>
      <w:r w:rsidR="004436B2">
        <w:rPr>
          <w:rFonts w:cs="Arial"/>
        </w:rPr>
        <w:t>disability</w:t>
      </w:r>
      <w:r w:rsidR="003F130B" w:rsidRPr="00BE7013">
        <w:rPr>
          <w:rFonts w:cs="Arial"/>
        </w:rPr>
        <w:t xml:space="preserve"> information is voluntary and </w:t>
      </w:r>
      <w:r w:rsidR="003F130B">
        <w:rPr>
          <w:rFonts w:cs="Arial"/>
        </w:rPr>
        <w:t xml:space="preserve">for the Council’s workforce </w:t>
      </w:r>
      <w:r w:rsidR="00EF2361" w:rsidRPr="00EF2361">
        <w:rPr>
          <w:rStyle w:val="normaltextrun"/>
          <w:rFonts w:cs="Arial"/>
          <w:shd w:val="clear" w:color="auto" w:fill="FFFFFF"/>
        </w:rPr>
        <w:t>16.19</w:t>
      </w:r>
      <w:r w:rsidR="003F130B" w:rsidRPr="00AF44B2">
        <w:rPr>
          <w:rFonts w:cs="Arial"/>
        </w:rPr>
        <w:t>%</w:t>
      </w:r>
      <w:r w:rsidR="003F130B">
        <w:rPr>
          <w:rFonts w:cs="Arial"/>
        </w:rPr>
        <w:t xml:space="preserve"> of the data is not known. </w:t>
      </w:r>
      <w:r w:rsidR="003F130B" w:rsidRPr="00BE7013">
        <w:rPr>
          <w:rFonts w:cs="Arial"/>
        </w:rPr>
        <w:t xml:space="preserve">For the purpose of this report the categories have been grouped into three </w:t>
      </w:r>
      <w:r w:rsidR="003F130B">
        <w:rPr>
          <w:rFonts w:cs="Arial"/>
        </w:rPr>
        <w:t>classifications:</w:t>
      </w:r>
      <w:r w:rsidR="003F130B" w:rsidRPr="00E46A65">
        <w:rPr>
          <w:rFonts w:cs="Arial"/>
        </w:rPr>
        <w:t xml:space="preserve"> </w:t>
      </w:r>
    </w:p>
    <w:p w14:paraId="4469370D" w14:textId="77777777" w:rsidR="003F130B" w:rsidRPr="00BE7013" w:rsidRDefault="004436B2" w:rsidP="003D2621">
      <w:pPr>
        <w:pStyle w:val="ListParagraph"/>
        <w:numPr>
          <w:ilvl w:val="0"/>
          <w:numId w:val="5"/>
        </w:numPr>
        <w:tabs>
          <w:tab w:val="clear" w:pos="426"/>
        </w:tabs>
        <w:spacing w:after="160"/>
        <w:contextualSpacing/>
        <w:rPr>
          <w:rFonts w:cs="Arial"/>
        </w:rPr>
      </w:pPr>
      <w:r>
        <w:rPr>
          <w:rFonts w:cs="Arial"/>
        </w:rPr>
        <w:t>Disabled</w:t>
      </w:r>
    </w:p>
    <w:p w14:paraId="1371D1D4" w14:textId="77777777" w:rsidR="003F130B" w:rsidRPr="00BE7013" w:rsidRDefault="00030917" w:rsidP="003D2621">
      <w:pPr>
        <w:pStyle w:val="ListParagraph"/>
        <w:numPr>
          <w:ilvl w:val="0"/>
          <w:numId w:val="5"/>
        </w:numPr>
        <w:tabs>
          <w:tab w:val="clear" w:pos="426"/>
        </w:tabs>
        <w:spacing w:after="160"/>
        <w:contextualSpacing/>
        <w:rPr>
          <w:rFonts w:cs="Arial"/>
        </w:rPr>
      </w:pPr>
      <w:r>
        <w:rPr>
          <w:rFonts w:cs="Arial"/>
        </w:rPr>
        <w:t>Non-disabled</w:t>
      </w:r>
      <w:r w:rsidR="00604412">
        <w:rPr>
          <w:rFonts w:cs="Arial"/>
        </w:rPr>
        <w:t xml:space="preserve"> </w:t>
      </w:r>
    </w:p>
    <w:p w14:paraId="108B7F45" w14:textId="77777777" w:rsidR="003F130B" w:rsidRDefault="003F130B" w:rsidP="003D2621">
      <w:pPr>
        <w:pStyle w:val="ListParagraph"/>
        <w:numPr>
          <w:ilvl w:val="0"/>
          <w:numId w:val="5"/>
        </w:numPr>
        <w:tabs>
          <w:tab w:val="clear" w:pos="426"/>
        </w:tabs>
        <w:ind w:left="714" w:hanging="357"/>
        <w:contextualSpacing/>
        <w:rPr>
          <w:rFonts w:cs="Arial"/>
        </w:rPr>
      </w:pPr>
      <w:r w:rsidRPr="00BE7013">
        <w:rPr>
          <w:rFonts w:cs="Arial"/>
        </w:rPr>
        <w:t>Not known</w:t>
      </w:r>
    </w:p>
    <w:p w14:paraId="529E37F5" w14:textId="77777777" w:rsidR="00522FEF" w:rsidRDefault="00522FEF" w:rsidP="00522FEF">
      <w:pPr>
        <w:pStyle w:val="ListParagraph"/>
        <w:numPr>
          <w:ilvl w:val="0"/>
          <w:numId w:val="0"/>
        </w:numPr>
        <w:tabs>
          <w:tab w:val="clear" w:pos="426"/>
        </w:tabs>
        <w:ind w:left="714"/>
        <w:contextualSpacing/>
        <w:rPr>
          <w:rFonts w:cs="Arial"/>
        </w:rPr>
      </w:pPr>
    </w:p>
    <w:p w14:paraId="1AD58D32" w14:textId="3EEF4EF7" w:rsidR="00493CF9" w:rsidRDefault="00493CF9" w:rsidP="00DA4B0B">
      <w:pPr>
        <w:pStyle w:val="ListParagraph"/>
        <w:numPr>
          <w:ilvl w:val="0"/>
          <w:numId w:val="18"/>
        </w:numPr>
        <w:spacing w:after="160"/>
        <w:contextualSpacing/>
        <w:rPr>
          <w:rFonts w:cs="Arial"/>
        </w:rPr>
      </w:pPr>
      <w:r>
        <w:rPr>
          <w:rFonts w:cs="Arial"/>
        </w:rPr>
        <w:t xml:space="preserve">The current proportion of the workforce at the Council declaring a disability is </w:t>
      </w:r>
      <w:r w:rsidR="009D41F3">
        <w:rPr>
          <w:rFonts w:cs="Arial"/>
        </w:rPr>
        <w:t>1</w:t>
      </w:r>
      <w:r>
        <w:rPr>
          <w:rFonts w:cs="Arial"/>
        </w:rPr>
        <w:t>0.</w:t>
      </w:r>
      <w:r w:rsidR="00EF2361">
        <w:rPr>
          <w:rFonts w:cs="Arial"/>
        </w:rPr>
        <w:t>2</w:t>
      </w:r>
      <w:r>
        <w:rPr>
          <w:rFonts w:cs="Arial"/>
        </w:rPr>
        <w:t>%.</w:t>
      </w:r>
    </w:p>
    <w:p w14:paraId="0D966CD1" w14:textId="77777777" w:rsidR="00493CF9" w:rsidRDefault="00493CF9" w:rsidP="00493CF9">
      <w:pPr>
        <w:pStyle w:val="ListParagraph"/>
        <w:numPr>
          <w:ilvl w:val="0"/>
          <w:numId w:val="0"/>
        </w:numPr>
        <w:spacing w:after="160"/>
        <w:ind w:left="360"/>
        <w:contextualSpacing/>
        <w:rPr>
          <w:rFonts w:cs="Arial"/>
        </w:rPr>
      </w:pPr>
    </w:p>
    <w:p w14:paraId="172B56F9" w14:textId="77777777" w:rsidR="00987806" w:rsidRDefault="003D2621" w:rsidP="00DA4B0B">
      <w:pPr>
        <w:pStyle w:val="ListParagraph"/>
        <w:numPr>
          <w:ilvl w:val="0"/>
          <w:numId w:val="18"/>
        </w:numPr>
      </w:pPr>
      <w:r w:rsidRPr="002B3FBE">
        <w:t xml:space="preserve">The Council’s </w:t>
      </w:r>
      <w:r>
        <w:t xml:space="preserve">disability </w:t>
      </w:r>
      <w:r w:rsidRPr="002B3FBE">
        <w:t xml:space="preserve">pay gap details for the snapshot date of </w:t>
      </w:r>
      <w:r>
        <w:t>31st March 202</w:t>
      </w:r>
      <w:r w:rsidR="00987806">
        <w:t>4</w:t>
      </w:r>
    </w:p>
    <w:p w14:paraId="5ED9437F" w14:textId="74B4564F" w:rsidR="003D2621" w:rsidRDefault="003D2621" w:rsidP="00810583">
      <w:pPr>
        <w:pStyle w:val="ListParagraph"/>
        <w:numPr>
          <w:ilvl w:val="0"/>
          <w:numId w:val="0"/>
        </w:numPr>
        <w:ind w:left="340"/>
      </w:pPr>
      <w:r w:rsidRPr="002B3FBE">
        <w:t>are below:-</w:t>
      </w:r>
    </w:p>
    <w:tbl>
      <w:tblPr>
        <w:tblStyle w:val="TableGrid"/>
        <w:tblW w:w="0" w:type="auto"/>
        <w:tblInd w:w="421" w:type="dxa"/>
        <w:tblLook w:val="04A0" w:firstRow="1" w:lastRow="0" w:firstColumn="1" w:lastColumn="0" w:noHBand="0" w:noVBand="1"/>
      </w:tblPr>
      <w:tblGrid>
        <w:gridCol w:w="4802"/>
        <w:gridCol w:w="1805"/>
      </w:tblGrid>
      <w:tr w:rsidR="00215488" w:rsidRPr="00844F48" w14:paraId="123E86B0" w14:textId="77777777" w:rsidTr="00215488">
        <w:tc>
          <w:tcPr>
            <w:tcW w:w="6607" w:type="dxa"/>
            <w:gridSpan w:val="2"/>
          </w:tcPr>
          <w:p w14:paraId="4FFF5A78" w14:textId="43192A34" w:rsidR="00215488" w:rsidRPr="00844F48" w:rsidRDefault="00215488" w:rsidP="003B11B5">
            <w:pPr>
              <w:spacing w:before="120"/>
              <w:jc w:val="center"/>
              <w:rPr>
                <w:rFonts w:cs="Arial"/>
                <w:b/>
              </w:rPr>
            </w:pPr>
            <w:r w:rsidRPr="00844F48">
              <w:rPr>
                <w:rFonts w:cs="Arial"/>
                <w:b/>
              </w:rPr>
              <w:t>31 March 202</w:t>
            </w:r>
            <w:r w:rsidR="00987806">
              <w:rPr>
                <w:rFonts w:cs="Arial"/>
                <w:b/>
              </w:rPr>
              <w:t>4</w:t>
            </w:r>
          </w:p>
        </w:tc>
      </w:tr>
      <w:tr w:rsidR="00215488" w:rsidRPr="00844F48" w14:paraId="3EB676BE" w14:textId="77777777" w:rsidTr="00215488">
        <w:tc>
          <w:tcPr>
            <w:tcW w:w="4802" w:type="dxa"/>
            <w:tcBorders>
              <w:right w:val="nil"/>
            </w:tcBorders>
          </w:tcPr>
          <w:p w14:paraId="03C1C04B" w14:textId="77777777" w:rsidR="00215488" w:rsidRPr="00844F48" w:rsidRDefault="00215488" w:rsidP="003B11B5">
            <w:pPr>
              <w:spacing w:before="60" w:after="60"/>
              <w:rPr>
                <w:rFonts w:cs="Arial"/>
              </w:rPr>
            </w:pPr>
            <w:r w:rsidRPr="00844F48">
              <w:rPr>
                <w:rFonts w:cs="Arial"/>
              </w:rPr>
              <w:t>Mean disability pay gap (basic pay)</w:t>
            </w:r>
          </w:p>
        </w:tc>
        <w:tc>
          <w:tcPr>
            <w:tcW w:w="1805" w:type="dxa"/>
            <w:tcBorders>
              <w:left w:val="nil"/>
            </w:tcBorders>
          </w:tcPr>
          <w:p w14:paraId="3AFAB31F" w14:textId="67F967A1" w:rsidR="00215488" w:rsidRPr="00844F48" w:rsidRDefault="00987806" w:rsidP="009B3E93">
            <w:pPr>
              <w:spacing w:before="60" w:after="60"/>
              <w:jc w:val="center"/>
              <w:rPr>
                <w:rFonts w:cs="Arial"/>
              </w:rPr>
            </w:pPr>
            <w:r>
              <w:rPr>
                <w:rFonts w:cs="Arial"/>
              </w:rPr>
              <w:t>3</w:t>
            </w:r>
            <w:r w:rsidR="00215488" w:rsidRPr="00844F48">
              <w:rPr>
                <w:rFonts w:cs="Arial"/>
              </w:rPr>
              <w:t>%</w:t>
            </w:r>
          </w:p>
        </w:tc>
      </w:tr>
      <w:tr w:rsidR="00215488" w:rsidRPr="00844F48" w14:paraId="43D3F08A" w14:textId="77777777" w:rsidTr="00215488">
        <w:tc>
          <w:tcPr>
            <w:tcW w:w="4802" w:type="dxa"/>
            <w:tcBorders>
              <w:right w:val="nil"/>
            </w:tcBorders>
          </w:tcPr>
          <w:p w14:paraId="78F61FA0" w14:textId="77777777" w:rsidR="00215488" w:rsidRPr="00844F48" w:rsidRDefault="00215488" w:rsidP="003B11B5">
            <w:pPr>
              <w:spacing w:before="60" w:after="60"/>
              <w:rPr>
                <w:rFonts w:cs="Arial"/>
              </w:rPr>
            </w:pPr>
            <w:r w:rsidRPr="00844F48">
              <w:rPr>
                <w:rFonts w:cs="Arial"/>
              </w:rPr>
              <w:t>Median disability pay gap (basic pay)</w:t>
            </w:r>
          </w:p>
        </w:tc>
        <w:tc>
          <w:tcPr>
            <w:tcW w:w="1805" w:type="dxa"/>
            <w:tcBorders>
              <w:left w:val="nil"/>
            </w:tcBorders>
          </w:tcPr>
          <w:p w14:paraId="15283DB4" w14:textId="77777777" w:rsidR="00215488" w:rsidRPr="00844F48" w:rsidRDefault="00215488" w:rsidP="003B11B5">
            <w:pPr>
              <w:spacing w:before="60" w:after="60"/>
              <w:jc w:val="center"/>
              <w:rPr>
                <w:rFonts w:cs="Arial"/>
              </w:rPr>
            </w:pPr>
            <w:r w:rsidRPr="00844F48">
              <w:rPr>
                <w:rFonts w:cs="Arial"/>
              </w:rPr>
              <w:t>0.0%</w:t>
            </w:r>
          </w:p>
        </w:tc>
      </w:tr>
      <w:tr w:rsidR="00215488" w:rsidRPr="00844F48" w14:paraId="6C7F611E" w14:textId="77777777" w:rsidTr="00215488">
        <w:tc>
          <w:tcPr>
            <w:tcW w:w="4802" w:type="dxa"/>
            <w:tcBorders>
              <w:right w:val="nil"/>
            </w:tcBorders>
          </w:tcPr>
          <w:p w14:paraId="34BFC948" w14:textId="77777777" w:rsidR="00215488" w:rsidRPr="00844F48" w:rsidRDefault="00215488" w:rsidP="003B11B5">
            <w:pPr>
              <w:spacing w:before="60" w:after="60"/>
              <w:rPr>
                <w:rFonts w:cs="Arial"/>
              </w:rPr>
            </w:pPr>
            <w:r w:rsidRPr="00844F48">
              <w:rPr>
                <w:rFonts w:cs="Arial"/>
              </w:rPr>
              <w:t>Mean disability bonus gap</w:t>
            </w:r>
          </w:p>
        </w:tc>
        <w:tc>
          <w:tcPr>
            <w:tcW w:w="1805" w:type="dxa"/>
            <w:tcBorders>
              <w:left w:val="nil"/>
            </w:tcBorders>
          </w:tcPr>
          <w:p w14:paraId="3C999F41" w14:textId="77777777" w:rsidR="00215488" w:rsidRPr="00844F48" w:rsidRDefault="00215488" w:rsidP="003B11B5">
            <w:pPr>
              <w:spacing w:before="60" w:after="60"/>
              <w:jc w:val="center"/>
              <w:rPr>
                <w:rFonts w:cs="Arial"/>
                <w:color w:val="FF0000"/>
              </w:rPr>
            </w:pPr>
            <w:r w:rsidRPr="00844F48">
              <w:rPr>
                <w:rFonts w:cs="Arial"/>
              </w:rPr>
              <w:t>0%</w:t>
            </w:r>
          </w:p>
        </w:tc>
      </w:tr>
      <w:tr w:rsidR="00215488" w:rsidRPr="00844F48" w14:paraId="167B61DC" w14:textId="77777777" w:rsidTr="00215488">
        <w:tc>
          <w:tcPr>
            <w:tcW w:w="4802" w:type="dxa"/>
            <w:tcBorders>
              <w:right w:val="nil"/>
            </w:tcBorders>
          </w:tcPr>
          <w:p w14:paraId="6DBDBA4D" w14:textId="77777777" w:rsidR="00215488" w:rsidRPr="00844F48" w:rsidRDefault="00215488" w:rsidP="003B11B5">
            <w:pPr>
              <w:spacing w:before="60" w:after="60"/>
              <w:rPr>
                <w:rFonts w:cs="Arial"/>
              </w:rPr>
            </w:pPr>
            <w:r w:rsidRPr="00844F48">
              <w:rPr>
                <w:rFonts w:cs="Arial"/>
              </w:rPr>
              <w:t>Median disability bonus gap</w:t>
            </w:r>
          </w:p>
        </w:tc>
        <w:tc>
          <w:tcPr>
            <w:tcW w:w="1805" w:type="dxa"/>
            <w:tcBorders>
              <w:left w:val="nil"/>
            </w:tcBorders>
          </w:tcPr>
          <w:p w14:paraId="22A1064C" w14:textId="77777777" w:rsidR="00215488" w:rsidRPr="00844F48" w:rsidRDefault="00215488" w:rsidP="003B11B5">
            <w:pPr>
              <w:spacing w:before="60" w:after="60"/>
              <w:jc w:val="center"/>
              <w:rPr>
                <w:rFonts w:cs="Arial"/>
              </w:rPr>
            </w:pPr>
            <w:r w:rsidRPr="00844F48">
              <w:rPr>
                <w:rFonts w:cs="Arial"/>
              </w:rPr>
              <w:t>0%</w:t>
            </w:r>
          </w:p>
        </w:tc>
      </w:tr>
    </w:tbl>
    <w:p w14:paraId="6709EBD9" w14:textId="77777777" w:rsidR="003D2621" w:rsidRPr="00844F48" w:rsidRDefault="003D2621" w:rsidP="003D2621">
      <w:pPr>
        <w:ind w:left="360" w:hanging="360"/>
        <w:rPr>
          <w:rStyle w:val="Firstpagetablebold"/>
        </w:rPr>
      </w:pPr>
    </w:p>
    <w:p w14:paraId="02A9E4A3" w14:textId="77777777" w:rsidR="003D2621" w:rsidRPr="00844F48" w:rsidRDefault="003D2621" w:rsidP="003D2621">
      <w:pPr>
        <w:ind w:left="360" w:hanging="360"/>
        <w:rPr>
          <w:rStyle w:val="Firstpagetablebold"/>
        </w:rPr>
      </w:pPr>
      <w:r w:rsidRPr="00844F48">
        <w:rPr>
          <w:rStyle w:val="Firstpagetablebold"/>
        </w:rPr>
        <w:t>Pay Quartiles by Disability</w:t>
      </w:r>
    </w:p>
    <w:tbl>
      <w:tblPr>
        <w:tblStyle w:val="TableGrid"/>
        <w:tblW w:w="0" w:type="auto"/>
        <w:tblInd w:w="421" w:type="dxa"/>
        <w:tblLook w:val="04A0" w:firstRow="1" w:lastRow="0" w:firstColumn="1" w:lastColumn="0" w:noHBand="0" w:noVBand="1"/>
      </w:tblPr>
      <w:tblGrid>
        <w:gridCol w:w="1978"/>
        <w:gridCol w:w="2221"/>
        <w:gridCol w:w="2408"/>
      </w:tblGrid>
      <w:tr w:rsidR="00215488" w:rsidRPr="00844F48" w14:paraId="3DE04C4B" w14:textId="77777777" w:rsidTr="00215488">
        <w:tc>
          <w:tcPr>
            <w:tcW w:w="1978" w:type="dxa"/>
          </w:tcPr>
          <w:p w14:paraId="4AB4FDE8" w14:textId="77777777" w:rsidR="00215488" w:rsidRPr="00844F48" w:rsidRDefault="00215488" w:rsidP="003B11B5">
            <w:pPr>
              <w:spacing w:before="60" w:after="60"/>
              <w:rPr>
                <w:rFonts w:cs="Arial"/>
                <w:b/>
              </w:rPr>
            </w:pPr>
            <w:r w:rsidRPr="00844F48">
              <w:rPr>
                <w:rFonts w:cs="Arial"/>
                <w:b/>
              </w:rPr>
              <w:t>Quartile</w:t>
            </w:r>
          </w:p>
        </w:tc>
        <w:tc>
          <w:tcPr>
            <w:tcW w:w="2221" w:type="dxa"/>
          </w:tcPr>
          <w:p w14:paraId="1C7D8C12" w14:textId="77777777" w:rsidR="00215488" w:rsidRPr="00844F48" w:rsidRDefault="00215488" w:rsidP="003B11B5">
            <w:pPr>
              <w:spacing w:before="60" w:after="60"/>
              <w:jc w:val="center"/>
              <w:rPr>
                <w:rFonts w:cs="Arial"/>
                <w:b/>
              </w:rPr>
            </w:pPr>
            <w:r w:rsidRPr="00844F48">
              <w:rPr>
                <w:rFonts w:cs="Arial"/>
                <w:b/>
              </w:rPr>
              <w:t>Disabled</w:t>
            </w:r>
            <w:r w:rsidRPr="00844F48">
              <w:rPr>
                <w:rFonts w:cs="Arial"/>
                <w:b/>
                <w:color w:val="FF0000"/>
              </w:rPr>
              <w:t xml:space="preserve"> </w:t>
            </w:r>
            <w:r w:rsidRPr="00844F48">
              <w:rPr>
                <w:rFonts w:cs="Arial"/>
                <w:b/>
              </w:rPr>
              <w:t>%</w:t>
            </w:r>
          </w:p>
        </w:tc>
        <w:tc>
          <w:tcPr>
            <w:tcW w:w="2408" w:type="dxa"/>
          </w:tcPr>
          <w:p w14:paraId="17735067" w14:textId="77777777" w:rsidR="00215488" w:rsidRPr="00844F48" w:rsidRDefault="00215488" w:rsidP="00030917">
            <w:pPr>
              <w:spacing w:before="60" w:after="60"/>
              <w:jc w:val="center"/>
              <w:rPr>
                <w:rFonts w:cs="Arial"/>
                <w:b/>
              </w:rPr>
            </w:pPr>
            <w:r w:rsidRPr="00844F48">
              <w:rPr>
                <w:rFonts w:cs="Arial"/>
                <w:b/>
              </w:rPr>
              <w:t>No</w:t>
            </w:r>
            <w:r w:rsidR="00030917" w:rsidRPr="00844F48">
              <w:rPr>
                <w:rFonts w:cs="Arial"/>
                <w:b/>
              </w:rPr>
              <w:t>n-d</w:t>
            </w:r>
            <w:r w:rsidRPr="00844F48">
              <w:rPr>
                <w:rFonts w:cs="Arial"/>
                <w:b/>
              </w:rPr>
              <w:t>isabled %</w:t>
            </w:r>
          </w:p>
        </w:tc>
      </w:tr>
      <w:tr w:rsidR="009B3E93" w:rsidRPr="00844F48" w14:paraId="66F530BE" w14:textId="77777777" w:rsidTr="003B11B5">
        <w:tc>
          <w:tcPr>
            <w:tcW w:w="1978" w:type="dxa"/>
          </w:tcPr>
          <w:p w14:paraId="60DBC105" w14:textId="77777777" w:rsidR="009B3E93" w:rsidRPr="00844F48" w:rsidRDefault="009B3E93" w:rsidP="009B3E93">
            <w:pPr>
              <w:spacing w:before="60" w:after="60"/>
              <w:rPr>
                <w:rFonts w:cs="Arial"/>
              </w:rPr>
            </w:pPr>
            <w:r w:rsidRPr="00844F48">
              <w:rPr>
                <w:rFonts w:cs="Arial"/>
              </w:rPr>
              <w:t>Top</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bottom"/>
          </w:tcPr>
          <w:p w14:paraId="6988CC9B" w14:textId="6E9589CA" w:rsidR="009B3E93" w:rsidRPr="00844F48" w:rsidRDefault="00987806" w:rsidP="009B3E93">
            <w:pPr>
              <w:jc w:val="center"/>
              <w:rPr>
                <w:rFonts w:cs="Arial"/>
              </w:rPr>
            </w:pPr>
            <w:r>
              <w:rPr>
                <w:rFonts w:ascii="Helvetica" w:hAnsi="Helvetica" w:cs="Helvetica"/>
                <w:color w:val="2D3547"/>
                <w:shd w:val="clear" w:color="auto" w:fill="F5F5F7"/>
              </w:rPr>
              <w:t>11.49</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bottom"/>
          </w:tcPr>
          <w:p w14:paraId="401E56D0" w14:textId="4C52DA00" w:rsidR="009B3E93" w:rsidRPr="00844F48" w:rsidRDefault="00987806" w:rsidP="009B3E93">
            <w:pPr>
              <w:jc w:val="center"/>
              <w:rPr>
                <w:rFonts w:cs="Arial"/>
              </w:rPr>
            </w:pPr>
            <w:r>
              <w:rPr>
                <w:rFonts w:ascii="Helvetica" w:hAnsi="Helvetica" w:cs="Helvetica"/>
                <w:color w:val="2D3547"/>
                <w:shd w:val="clear" w:color="auto" w:fill="F5F5F7"/>
              </w:rPr>
              <w:t>88.51</w:t>
            </w:r>
          </w:p>
        </w:tc>
      </w:tr>
      <w:tr w:rsidR="009B3E93" w:rsidRPr="00844F48" w14:paraId="329D4BE9" w14:textId="77777777" w:rsidTr="003B11B5">
        <w:tc>
          <w:tcPr>
            <w:tcW w:w="1978" w:type="dxa"/>
          </w:tcPr>
          <w:p w14:paraId="675BD84A" w14:textId="77777777" w:rsidR="009B3E93" w:rsidRPr="00844F48" w:rsidRDefault="009B3E93" w:rsidP="009B3E93">
            <w:pPr>
              <w:spacing w:before="60" w:after="60"/>
              <w:rPr>
                <w:rFonts w:cs="Arial"/>
              </w:rPr>
            </w:pPr>
            <w:r w:rsidRPr="00844F48">
              <w:rPr>
                <w:rFonts w:cs="Arial"/>
              </w:rPr>
              <w:t>Upper Middle</w:t>
            </w:r>
          </w:p>
        </w:tc>
        <w:tc>
          <w:tcPr>
            <w:tcW w:w="2221" w:type="dxa"/>
            <w:tcBorders>
              <w:top w:val="nil"/>
              <w:left w:val="single" w:sz="4" w:space="0" w:color="auto"/>
              <w:bottom w:val="single" w:sz="4" w:space="0" w:color="auto"/>
              <w:right w:val="single" w:sz="4" w:space="0" w:color="auto"/>
            </w:tcBorders>
            <w:shd w:val="clear" w:color="auto" w:fill="auto"/>
            <w:vAlign w:val="bottom"/>
          </w:tcPr>
          <w:p w14:paraId="498584F8" w14:textId="69CAD1A3" w:rsidR="009B3E93" w:rsidRPr="00844F48" w:rsidRDefault="00987806" w:rsidP="009B3E93">
            <w:pPr>
              <w:jc w:val="center"/>
              <w:rPr>
                <w:rFonts w:cs="Arial"/>
              </w:rPr>
            </w:pPr>
            <w:r>
              <w:rPr>
                <w:rFonts w:ascii="Helvetica" w:hAnsi="Helvetica" w:cs="Helvetica"/>
                <w:color w:val="2D3547"/>
                <w:shd w:val="clear" w:color="auto" w:fill="F5F5F7"/>
              </w:rPr>
              <w:t>13.22</w:t>
            </w:r>
          </w:p>
        </w:tc>
        <w:tc>
          <w:tcPr>
            <w:tcW w:w="2408" w:type="dxa"/>
            <w:tcBorders>
              <w:top w:val="nil"/>
              <w:left w:val="single" w:sz="4" w:space="0" w:color="auto"/>
              <w:bottom w:val="single" w:sz="4" w:space="0" w:color="auto"/>
              <w:right w:val="single" w:sz="4" w:space="0" w:color="auto"/>
            </w:tcBorders>
            <w:shd w:val="clear" w:color="auto" w:fill="auto"/>
            <w:vAlign w:val="bottom"/>
          </w:tcPr>
          <w:p w14:paraId="224B0220" w14:textId="62ECB706" w:rsidR="009B3E93" w:rsidRPr="00844F48" w:rsidRDefault="00987806" w:rsidP="009B3E93">
            <w:pPr>
              <w:jc w:val="center"/>
              <w:rPr>
                <w:rFonts w:cs="Arial"/>
              </w:rPr>
            </w:pPr>
            <w:r>
              <w:rPr>
                <w:rFonts w:ascii="Helvetica" w:hAnsi="Helvetica" w:cs="Helvetica"/>
                <w:color w:val="2D3547"/>
                <w:shd w:val="clear" w:color="auto" w:fill="F5F5F7"/>
              </w:rPr>
              <w:t>86.78</w:t>
            </w:r>
          </w:p>
        </w:tc>
      </w:tr>
      <w:tr w:rsidR="009B3E93" w:rsidRPr="00844F48" w14:paraId="549C8C8B" w14:textId="77777777" w:rsidTr="003B11B5">
        <w:tc>
          <w:tcPr>
            <w:tcW w:w="1978" w:type="dxa"/>
          </w:tcPr>
          <w:p w14:paraId="5775EBA8" w14:textId="77777777" w:rsidR="009B3E93" w:rsidRPr="00844F48" w:rsidRDefault="009B3E93" w:rsidP="009B3E93">
            <w:pPr>
              <w:spacing w:before="60" w:after="60"/>
              <w:rPr>
                <w:rFonts w:cs="Arial"/>
              </w:rPr>
            </w:pPr>
            <w:r w:rsidRPr="00844F48">
              <w:rPr>
                <w:rFonts w:cs="Arial"/>
              </w:rPr>
              <w:t>Lower Middle</w:t>
            </w:r>
          </w:p>
        </w:tc>
        <w:tc>
          <w:tcPr>
            <w:tcW w:w="2221" w:type="dxa"/>
            <w:tcBorders>
              <w:top w:val="nil"/>
              <w:left w:val="single" w:sz="4" w:space="0" w:color="auto"/>
              <w:bottom w:val="single" w:sz="4" w:space="0" w:color="auto"/>
              <w:right w:val="single" w:sz="4" w:space="0" w:color="auto"/>
            </w:tcBorders>
            <w:shd w:val="clear" w:color="auto" w:fill="auto"/>
            <w:vAlign w:val="bottom"/>
          </w:tcPr>
          <w:p w14:paraId="61DE66D8" w14:textId="4652C10B" w:rsidR="009B3E93" w:rsidRPr="00844F48" w:rsidRDefault="00987806" w:rsidP="009B3E93">
            <w:pPr>
              <w:jc w:val="center"/>
              <w:rPr>
                <w:rFonts w:cs="Arial"/>
              </w:rPr>
            </w:pPr>
            <w:r>
              <w:rPr>
                <w:rFonts w:ascii="Helvetica" w:hAnsi="Helvetica" w:cs="Helvetica"/>
                <w:color w:val="2D3547"/>
                <w:shd w:val="clear" w:color="auto" w:fill="F5F5F7"/>
              </w:rPr>
              <w:t>14.20</w:t>
            </w:r>
          </w:p>
        </w:tc>
        <w:tc>
          <w:tcPr>
            <w:tcW w:w="2408" w:type="dxa"/>
            <w:tcBorders>
              <w:top w:val="nil"/>
              <w:left w:val="single" w:sz="4" w:space="0" w:color="auto"/>
              <w:bottom w:val="single" w:sz="4" w:space="0" w:color="auto"/>
              <w:right w:val="single" w:sz="4" w:space="0" w:color="auto"/>
            </w:tcBorders>
            <w:shd w:val="clear" w:color="auto" w:fill="auto"/>
            <w:vAlign w:val="bottom"/>
          </w:tcPr>
          <w:p w14:paraId="2C1C4C01" w14:textId="514B6993" w:rsidR="009B3E93" w:rsidRPr="00844F48" w:rsidRDefault="00987806" w:rsidP="009B3E93">
            <w:pPr>
              <w:jc w:val="center"/>
              <w:rPr>
                <w:rFonts w:cs="Arial"/>
              </w:rPr>
            </w:pPr>
            <w:r>
              <w:rPr>
                <w:rFonts w:ascii="Helvetica" w:hAnsi="Helvetica" w:cs="Helvetica"/>
                <w:color w:val="2D3547"/>
                <w:shd w:val="clear" w:color="auto" w:fill="F5F5F7"/>
              </w:rPr>
              <w:t>85.80</w:t>
            </w:r>
          </w:p>
        </w:tc>
      </w:tr>
      <w:tr w:rsidR="009B3E93" w:rsidRPr="002C21BF" w14:paraId="4E38ED1B" w14:textId="77777777" w:rsidTr="003B11B5">
        <w:tc>
          <w:tcPr>
            <w:tcW w:w="1978" w:type="dxa"/>
          </w:tcPr>
          <w:p w14:paraId="14C88398" w14:textId="77777777" w:rsidR="009B3E93" w:rsidRPr="00844F48" w:rsidRDefault="009B3E93" w:rsidP="009B3E93">
            <w:pPr>
              <w:spacing w:before="60" w:after="60"/>
              <w:rPr>
                <w:rFonts w:cs="Arial"/>
              </w:rPr>
            </w:pPr>
            <w:r w:rsidRPr="00844F48">
              <w:rPr>
                <w:rFonts w:cs="Arial"/>
              </w:rPr>
              <w:t>Lower</w:t>
            </w:r>
          </w:p>
        </w:tc>
        <w:tc>
          <w:tcPr>
            <w:tcW w:w="2221" w:type="dxa"/>
            <w:tcBorders>
              <w:top w:val="nil"/>
              <w:left w:val="single" w:sz="4" w:space="0" w:color="auto"/>
              <w:bottom w:val="single" w:sz="4" w:space="0" w:color="auto"/>
              <w:right w:val="single" w:sz="4" w:space="0" w:color="auto"/>
            </w:tcBorders>
            <w:shd w:val="clear" w:color="auto" w:fill="auto"/>
            <w:vAlign w:val="bottom"/>
          </w:tcPr>
          <w:p w14:paraId="6B6D228D" w14:textId="7A757DC2" w:rsidR="009B3E93" w:rsidRPr="00844F48" w:rsidRDefault="00987806" w:rsidP="009B3E93">
            <w:pPr>
              <w:jc w:val="center"/>
              <w:rPr>
                <w:rFonts w:cs="Arial"/>
              </w:rPr>
            </w:pPr>
            <w:r>
              <w:rPr>
                <w:rFonts w:ascii="Helvetica" w:hAnsi="Helvetica" w:cs="Helvetica"/>
                <w:color w:val="2D3547"/>
                <w:shd w:val="clear" w:color="auto" w:fill="F5F5F7"/>
              </w:rPr>
              <w:t>8.33</w:t>
            </w:r>
          </w:p>
        </w:tc>
        <w:tc>
          <w:tcPr>
            <w:tcW w:w="2408" w:type="dxa"/>
            <w:tcBorders>
              <w:top w:val="nil"/>
              <w:left w:val="single" w:sz="4" w:space="0" w:color="auto"/>
              <w:bottom w:val="single" w:sz="4" w:space="0" w:color="auto"/>
              <w:right w:val="single" w:sz="4" w:space="0" w:color="auto"/>
            </w:tcBorders>
            <w:shd w:val="clear" w:color="auto" w:fill="auto"/>
            <w:vAlign w:val="bottom"/>
          </w:tcPr>
          <w:p w14:paraId="54D36E3D" w14:textId="0BBBB885" w:rsidR="009B3E93" w:rsidRPr="002C21BF" w:rsidRDefault="00987806" w:rsidP="009B3E93">
            <w:pPr>
              <w:jc w:val="center"/>
              <w:rPr>
                <w:rFonts w:cs="Arial"/>
              </w:rPr>
            </w:pPr>
            <w:r>
              <w:rPr>
                <w:rFonts w:ascii="Helvetica" w:hAnsi="Helvetica" w:cs="Helvetica"/>
                <w:color w:val="2D3547"/>
                <w:shd w:val="clear" w:color="auto" w:fill="F5F5F7"/>
              </w:rPr>
              <w:t>91.67</w:t>
            </w:r>
          </w:p>
        </w:tc>
      </w:tr>
    </w:tbl>
    <w:p w14:paraId="78ED0191" w14:textId="77777777" w:rsidR="003D2621" w:rsidRDefault="003D2621" w:rsidP="003D2621">
      <w:pPr>
        <w:pStyle w:val="ListParagraph"/>
        <w:numPr>
          <w:ilvl w:val="0"/>
          <w:numId w:val="0"/>
        </w:numPr>
        <w:ind w:left="360"/>
      </w:pPr>
    </w:p>
    <w:p w14:paraId="487D2D05" w14:textId="743D83DA" w:rsidR="003D2621" w:rsidRPr="00841BD4" w:rsidRDefault="003D2621" w:rsidP="003B11B5">
      <w:pPr>
        <w:pStyle w:val="ListParagraph"/>
        <w:numPr>
          <w:ilvl w:val="0"/>
          <w:numId w:val="0"/>
        </w:numPr>
        <w:spacing w:after="160"/>
        <w:ind w:left="360"/>
        <w:contextualSpacing/>
        <w:rPr>
          <w:rFonts w:cs="Arial"/>
        </w:rPr>
      </w:pPr>
      <w:r>
        <w:t xml:space="preserve">The data shows the </w:t>
      </w:r>
      <w:r w:rsidR="009D41F3">
        <w:t xml:space="preserve">mean </w:t>
      </w:r>
      <w:r>
        <w:t xml:space="preserve">disability pay gap is </w:t>
      </w:r>
      <w:r w:rsidR="00987806">
        <w:t>down from 4.9% in March 2023 to 3% in March 2024</w:t>
      </w:r>
      <w:r w:rsidR="002377A1">
        <w:t xml:space="preserve">.  </w:t>
      </w:r>
      <w:r>
        <w:t>T</w:t>
      </w:r>
      <w:r w:rsidRPr="00485210">
        <w:t xml:space="preserve">he representation of </w:t>
      </w:r>
      <w:r w:rsidR="00604412">
        <w:t>disability</w:t>
      </w:r>
      <w:r w:rsidRPr="00485210">
        <w:t xml:space="preserve"> in th</w:t>
      </w:r>
      <w:r>
        <w:t>e top pay quartile</w:t>
      </w:r>
      <w:r w:rsidR="00CF7CDF">
        <w:t xml:space="preserve"> has increased from 9.32% to 11.49</w:t>
      </w:r>
      <w:r w:rsidR="00A17A7E">
        <w:t>%.</w:t>
      </w:r>
    </w:p>
    <w:p w14:paraId="1A3BB738" w14:textId="5443D066" w:rsidR="00522FEF" w:rsidRPr="00522FEF" w:rsidRDefault="00522FEF" w:rsidP="00841BD4">
      <w:pPr>
        <w:spacing w:after="160"/>
        <w:ind w:left="340"/>
        <w:contextualSpacing/>
        <w:rPr>
          <w:rFonts w:cs="Arial"/>
        </w:rPr>
      </w:pPr>
      <w:r>
        <w:rPr>
          <w:rFonts w:cs="Arial"/>
        </w:rPr>
        <w:t xml:space="preserve">The </w:t>
      </w:r>
      <w:r w:rsidR="003D2621">
        <w:rPr>
          <w:rFonts w:cs="Arial"/>
        </w:rPr>
        <w:t>Council</w:t>
      </w:r>
      <w:r w:rsidR="007E72F2">
        <w:rPr>
          <w:rFonts w:cs="Arial"/>
        </w:rPr>
        <w:t xml:space="preserve"> </w:t>
      </w:r>
      <w:r w:rsidR="009D41F3">
        <w:rPr>
          <w:rFonts w:cs="Arial"/>
        </w:rPr>
        <w:t>ha</w:t>
      </w:r>
      <w:r w:rsidR="00841BD4">
        <w:rPr>
          <w:rFonts w:cs="Arial"/>
        </w:rPr>
        <w:t>s</w:t>
      </w:r>
      <w:r w:rsidR="009D41F3">
        <w:rPr>
          <w:rFonts w:cs="Arial"/>
        </w:rPr>
        <w:t xml:space="preserve"> no median </w:t>
      </w:r>
      <w:r w:rsidR="007E72F2">
        <w:rPr>
          <w:rFonts w:cs="Arial"/>
        </w:rPr>
        <w:t>disability pay gap</w:t>
      </w:r>
      <w:r w:rsidR="009D41F3">
        <w:rPr>
          <w:rFonts w:cs="Arial"/>
        </w:rPr>
        <w:t>. This compares</w:t>
      </w:r>
      <w:r w:rsidR="005D12CC">
        <w:rPr>
          <w:rFonts w:cs="Arial"/>
        </w:rPr>
        <w:t xml:space="preserve"> favourably</w:t>
      </w:r>
      <w:r w:rsidR="009D41F3">
        <w:rPr>
          <w:rFonts w:cs="Arial"/>
        </w:rPr>
        <w:t xml:space="preserve"> with a </w:t>
      </w:r>
      <w:r w:rsidR="003D2621">
        <w:rPr>
          <w:rFonts w:cs="Arial"/>
        </w:rPr>
        <w:t>national</w:t>
      </w:r>
      <w:r w:rsidR="005A3FE3">
        <w:rPr>
          <w:rFonts w:cs="Arial"/>
        </w:rPr>
        <w:t xml:space="preserve"> median</w:t>
      </w:r>
      <w:r w:rsidR="003D2621">
        <w:rPr>
          <w:rFonts w:cs="Arial"/>
        </w:rPr>
        <w:t xml:space="preserve"> pay gap</w:t>
      </w:r>
      <w:r w:rsidR="009D41F3">
        <w:rPr>
          <w:rFonts w:cs="Arial"/>
        </w:rPr>
        <w:t xml:space="preserve"> of</w:t>
      </w:r>
      <w:r w:rsidR="004812DB">
        <w:rPr>
          <w:rFonts w:cs="Arial"/>
        </w:rPr>
        <w:t xml:space="preserve"> 12.7%.</w:t>
      </w:r>
      <w:r w:rsidR="009D41F3">
        <w:rPr>
          <w:rFonts w:cs="Arial"/>
        </w:rPr>
        <w:t xml:space="preserve">  </w:t>
      </w:r>
    </w:p>
    <w:p w14:paraId="7FF0A672" w14:textId="32263438" w:rsidR="003D2621" w:rsidRDefault="00D166F3" w:rsidP="00DA4B0B">
      <w:pPr>
        <w:pStyle w:val="ListParagraph"/>
        <w:numPr>
          <w:ilvl w:val="0"/>
          <w:numId w:val="18"/>
        </w:numPr>
      </w:pPr>
      <w:r>
        <w:t xml:space="preserve"> </w:t>
      </w:r>
      <w:r w:rsidR="00165129">
        <w:t xml:space="preserve">Appendix 4 provides a table and graphic representation of disability by grade.  There is a notably higher </w:t>
      </w:r>
      <w:r w:rsidR="00987C2A">
        <w:t xml:space="preserve">number </w:t>
      </w:r>
      <w:r w:rsidR="00165129">
        <w:t xml:space="preserve">of </w:t>
      </w:r>
      <w:r w:rsidR="00421FCC">
        <w:t>employees</w:t>
      </w:r>
      <w:r w:rsidR="00841BD4">
        <w:t xml:space="preserve"> with a disability</w:t>
      </w:r>
      <w:r w:rsidR="00421FCC">
        <w:t xml:space="preserve"> </w:t>
      </w:r>
      <w:r w:rsidR="00421FCC" w:rsidRPr="001A44A9">
        <w:t>in grades 5-8</w:t>
      </w:r>
      <w:r w:rsidR="00165129" w:rsidRPr="001A44A9">
        <w:t>.</w:t>
      </w:r>
      <w:r w:rsidR="008A10CA">
        <w:t xml:space="preserve"> Employees with a disability are under-represented at senior pay grades.</w:t>
      </w:r>
    </w:p>
    <w:p w14:paraId="24877BD1" w14:textId="64D70FBD" w:rsidR="00020EE6" w:rsidRDefault="005A3FE3" w:rsidP="003611CE">
      <w:pPr>
        <w:pStyle w:val="ListParagraph"/>
        <w:numPr>
          <w:ilvl w:val="0"/>
          <w:numId w:val="18"/>
        </w:numPr>
      </w:pPr>
      <w:r w:rsidRPr="726E49C3">
        <w:rPr>
          <w:rFonts w:cs="Arial"/>
        </w:rPr>
        <w:lastRenderedPageBreak/>
        <w:t>The non-reporting of information impacts the</w:t>
      </w:r>
      <w:r w:rsidR="006C5F76" w:rsidRPr="726E49C3">
        <w:rPr>
          <w:rFonts w:cs="Arial"/>
        </w:rPr>
        <w:t xml:space="preserve"> reliability of this data. At 16</w:t>
      </w:r>
      <w:r w:rsidRPr="726E49C3">
        <w:rPr>
          <w:rFonts w:cs="Arial"/>
        </w:rPr>
        <w:t>.</w:t>
      </w:r>
      <w:r w:rsidR="006C5F76" w:rsidRPr="726E49C3">
        <w:rPr>
          <w:rFonts w:cs="Arial"/>
        </w:rPr>
        <w:t>1</w:t>
      </w:r>
      <w:r w:rsidRPr="726E49C3">
        <w:rPr>
          <w:rFonts w:cs="Arial"/>
        </w:rPr>
        <w:t>9% of the whole workforce</w:t>
      </w:r>
      <w:r w:rsidR="000F3CBA" w:rsidRPr="726E49C3">
        <w:rPr>
          <w:rFonts w:cs="Arial"/>
        </w:rPr>
        <w:t>,</w:t>
      </w:r>
      <w:r w:rsidRPr="726E49C3">
        <w:rPr>
          <w:rFonts w:cs="Arial"/>
        </w:rPr>
        <w:t xml:space="preserve"> the number of people not reporting on disability is higher than the proportion of people report</w:t>
      </w:r>
      <w:r w:rsidR="006C5F76" w:rsidRPr="726E49C3">
        <w:rPr>
          <w:rFonts w:cs="Arial"/>
        </w:rPr>
        <w:t xml:space="preserve">ing </w:t>
      </w:r>
      <w:r w:rsidR="7C9ED40F" w:rsidRPr="726E49C3">
        <w:rPr>
          <w:rFonts w:cs="Arial"/>
        </w:rPr>
        <w:t>having</w:t>
      </w:r>
      <w:r w:rsidR="006C5F76" w:rsidRPr="726E49C3">
        <w:rPr>
          <w:rFonts w:cs="Arial"/>
        </w:rPr>
        <w:t xml:space="preserve"> a disability at 10.2</w:t>
      </w:r>
      <w:r w:rsidRPr="726E49C3">
        <w:rPr>
          <w:rFonts w:cs="Arial"/>
        </w:rPr>
        <w:t>%</w:t>
      </w:r>
      <w:r w:rsidR="000E7E6B" w:rsidRPr="726E49C3">
        <w:rPr>
          <w:rFonts w:cs="Arial"/>
        </w:rPr>
        <w:t>.</w:t>
      </w:r>
    </w:p>
    <w:p w14:paraId="66DB3D1C" w14:textId="77777777" w:rsidR="002B3FBE" w:rsidRPr="00C749CD" w:rsidRDefault="002B3FBE" w:rsidP="00B41A73">
      <w:pPr>
        <w:spacing w:before="240"/>
        <w:rPr>
          <w:b/>
        </w:rPr>
      </w:pPr>
      <w:r w:rsidRPr="00C749CD">
        <w:rPr>
          <w:b/>
        </w:rPr>
        <w:t>MEASURING PROGRESS</w:t>
      </w:r>
      <w:r w:rsidR="00C2416E" w:rsidRPr="00C749CD">
        <w:rPr>
          <w:b/>
        </w:rPr>
        <w:t xml:space="preserve"> / OUTCOMES</w:t>
      </w:r>
    </w:p>
    <w:p w14:paraId="03C43ED5" w14:textId="3AA6B0AF" w:rsidR="00682655" w:rsidRPr="00C749CD" w:rsidRDefault="00682655" w:rsidP="00DA4B0B">
      <w:pPr>
        <w:pStyle w:val="ListParagraph"/>
        <w:numPr>
          <w:ilvl w:val="0"/>
          <w:numId w:val="18"/>
        </w:numPr>
        <w:rPr>
          <w:rStyle w:val="Firstpagetablebold"/>
          <w:b w:val="0"/>
        </w:rPr>
      </w:pPr>
      <w:r w:rsidRPr="00C749CD">
        <w:rPr>
          <w:rStyle w:val="Firstpagetablebold"/>
          <w:b w:val="0"/>
        </w:rPr>
        <w:t xml:space="preserve">This </w:t>
      </w:r>
      <w:r w:rsidR="00DC0C58" w:rsidRPr="00C749CD">
        <w:rPr>
          <w:rStyle w:val="Firstpagetablebold"/>
          <w:b w:val="0"/>
        </w:rPr>
        <w:t xml:space="preserve">WER </w:t>
      </w:r>
      <w:r w:rsidRPr="00C749CD">
        <w:rPr>
          <w:rStyle w:val="Firstpagetablebold"/>
          <w:b w:val="0"/>
        </w:rPr>
        <w:t>is useful in providing a set of indicators to measure the performance of the organisation from a pay gap perspective as part of the Council’s e</w:t>
      </w:r>
      <w:r w:rsidR="00421FCC" w:rsidRPr="00C749CD">
        <w:rPr>
          <w:rStyle w:val="Firstpagetablebold"/>
          <w:b w:val="0"/>
        </w:rPr>
        <w:t>qualities</w:t>
      </w:r>
      <w:r w:rsidRPr="00C749CD">
        <w:rPr>
          <w:rStyle w:val="Firstpagetablebold"/>
          <w:b w:val="0"/>
        </w:rPr>
        <w:t xml:space="preserve"> aspirations. </w:t>
      </w:r>
      <w:r w:rsidR="009C7C4A" w:rsidRPr="00C749CD">
        <w:rPr>
          <w:rStyle w:val="Firstpagetablebold"/>
          <w:b w:val="0"/>
        </w:rPr>
        <w:t xml:space="preserve">Alongside this, the Council’s staff survey will help to set outcomes and </w:t>
      </w:r>
      <w:r w:rsidR="00B61F29" w:rsidRPr="00C749CD">
        <w:rPr>
          <w:rStyle w:val="Firstpagetablebold"/>
          <w:b w:val="0"/>
        </w:rPr>
        <w:t xml:space="preserve">measure progress – the focus being on </w:t>
      </w:r>
      <w:r w:rsidR="008844AF" w:rsidRPr="00C749CD">
        <w:rPr>
          <w:rStyle w:val="Firstpagetablebold"/>
          <w:b w:val="0"/>
        </w:rPr>
        <w:t xml:space="preserve">qualitative related </w:t>
      </w:r>
      <w:r w:rsidR="00935938" w:rsidRPr="00C749CD">
        <w:rPr>
          <w:rStyle w:val="Firstpagetablebold"/>
          <w:b w:val="0"/>
        </w:rPr>
        <w:t>outcomes such as trust</w:t>
      </w:r>
      <w:r w:rsidR="008844AF" w:rsidRPr="00C749CD">
        <w:rPr>
          <w:rStyle w:val="Firstpagetablebold"/>
          <w:b w:val="0"/>
        </w:rPr>
        <w:t xml:space="preserve"> and</w:t>
      </w:r>
      <w:r w:rsidR="00C749CD">
        <w:rPr>
          <w:rStyle w:val="Firstpagetablebold"/>
          <w:b w:val="0"/>
        </w:rPr>
        <w:t xml:space="preserve"> belonging, career progression and</w:t>
      </w:r>
      <w:r w:rsidR="00935938" w:rsidRPr="00C749CD">
        <w:rPr>
          <w:rStyle w:val="Firstpagetablebold"/>
          <w:b w:val="0"/>
        </w:rPr>
        <w:t xml:space="preserve"> </w:t>
      </w:r>
      <w:r w:rsidR="008844AF" w:rsidRPr="00C749CD">
        <w:rPr>
          <w:rStyle w:val="Firstpagetablebold"/>
          <w:b w:val="0"/>
        </w:rPr>
        <w:t xml:space="preserve">inclusive </w:t>
      </w:r>
      <w:r w:rsidR="00C749CD">
        <w:rPr>
          <w:rStyle w:val="Firstpagetablebold"/>
          <w:b w:val="0"/>
        </w:rPr>
        <w:t>management.</w:t>
      </w:r>
    </w:p>
    <w:p w14:paraId="304A92E8" w14:textId="77777777" w:rsidR="002B3FBE" w:rsidRPr="002568E7" w:rsidRDefault="002B3FBE" w:rsidP="002B3FBE">
      <w:pPr>
        <w:pStyle w:val="Heading1"/>
      </w:pPr>
      <w:r w:rsidRPr="002568E7">
        <w:t>FINANCIAL IMPLICATIONS</w:t>
      </w:r>
    </w:p>
    <w:p w14:paraId="37F2A739" w14:textId="4BFD0F1B" w:rsidR="0033359A" w:rsidRPr="002568E7" w:rsidRDefault="002568E7" w:rsidP="00DA4B0B">
      <w:pPr>
        <w:pStyle w:val="ListParagraph"/>
        <w:numPr>
          <w:ilvl w:val="0"/>
          <w:numId w:val="18"/>
        </w:numPr>
        <w:rPr>
          <w:rStyle w:val="Firstpagetablebold"/>
          <w:b w:val="0"/>
        </w:rPr>
      </w:pPr>
      <w:r>
        <w:rPr>
          <w:rStyle w:val="Firstpagetablebold"/>
          <w:b w:val="0"/>
        </w:rPr>
        <w:t xml:space="preserve"> </w:t>
      </w:r>
      <w:r w:rsidR="0033359A" w:rsidRPr="002568E7">
        <w:rPr>
          <w:rStyle w:val="Firstpagetablebold"/>
          <w:b w:val="0"/>
        </w:rPr>
        <w:t xml:space="preserve">A base budget of £60,000 is in place to support the Council’s on-going </w:t>
      </w:r>
      <w:r w:rsidR="00E16AA7" w:rsidRPr="002568E7">
        <w:rPr>
          <w:rStyle w:val="Firstpagetablebold"/>
          <w:b w:val="0"/>
        </w:rPr>
        <w:t xml:space="preserve">commitment to </w:t>
      </w:r>
      <w:r>
        <w:rPr>
          <w:rStyle w:val="Firstpagetablebold"/>
          <w:b w:val="0"/>
        </w:rPr>
        <w:t>building a more diverse workforce and inclusive culture.</w:t>
      </w:r>
    </w:p>
    <w:p w14:paraId="7306007C" w14:textId="77777777" w:rsidR="00531B3C" w:rsidRPr="002568E7" w:rsidRDefault="00542D7D">
      <w:pPr>
        <w:pStyle w:val="Heading1"/>
      </w:pPr>
      <w:r w:rsidRPr="002568E7">
        <w:t>LEGAL I</w:t>
      </w:r>
      <w:r w:rsidR="0033359A" w:rsidRPr="002568E7">
        <w:t>MPLICATIONS</w:t>
      </w:r>
    </w:p>
    <w:p w14:paraId="484D7987" w14:textId="77777777" w:rsidR="00531B3C" w:rsidRPr="002568E7" w:rsidRDefault="00542D7D" w:rsidP="00DA4B0B">
      <w:pPr>
        <w:pStyle w:val="ListParagraph"/>
        <w:numPr>
          <w:ilvl w:val="0"/>
          <w:numId w:val="18"/>
        </w:numPr>
      </w:pPr>
      <w:r w:rsidRPr="002568E7">
        <w:t>The Equality Act 2010</w:t>
      </w:r>
      <w:r w:rsidR="00E04F41" w:rsidRPr="002568E7">
        <w:t xml:space="preserve"> (the Act)</w:t>
      </w:r>
      <w:r w:rsidRPr="002568E7">
        <w:t xml:space="preserve">, section 149 introduced the Public Sector Equality Duty. It requires that </w:t>
      </w:r>
      <w:r w:rsidR="004D31C0" w:rsidRPr="002568E7">
        <w:t xml:space="preserve">in </w:t>
      </w:r>
      <w:r w:rsidRPr="002568E7">
        <w:t xml:space="preserve">everything the Council does, </w:t>
      </w:r>
      <w:r w:rsidR="004D31C0" w:rsidRPr="002568E7">
        <w:t xml:space="preserve">it </w:t>
      </w:r>
      <w:r w:rsidRPr="002568E7">
        <w:t>must have due regard to the need to</w:t>
      </w:r>
      <w:r w:rsidR="004D31C0" w:rsidRPr="002568E7">
        <w:t>:</w:t>
      </w:r>
      <w:r w:rsidRPr="002568E7">
        <w:t xml:space="preserve"> eliminate discrimination, harassment, victimisation and any other conduct that is prohibited by the </w:t>
      </w:r>
      <w:r w:rsidR="00E04F41" w:rsidRPr="002568E7">
        <w:t>A</w:t>
      </w:r>
      <w:r w:rsidRPr="002568E7">
        <w:t>ct; advance equality of opportunity between persons who share a relevant protected characteristic and persons who do not share it; and foster good relations between persons who share a relevant protected characteristic and person</w:t>
      </w:r>
      <w:r w:rsidR="004D31C0" w:rsidRPr="002568E7">
        <w:t>s</w:t>
      </w:r>
      <w:r w:rsidRPr="002568E7">
        <w:t xml:space="preserve"> who do not share it.</w:t>
      </w:r>
    </w:p>
    <w:p w14:paraId="5F3BF9D9" w14:textId="51FD661F" w:rsidR="00531B3C" w:rsidRPr="002568E7" w:rsidRDefault="00542D7D" w:rsidP="00DA4B0B">
      <w:pPr>
        <w:pStyle w:val="ListParagraph"/>
        <w:numPr>
          <w:ilvl w:val="0"/>
          <w:numId w:val="10"/>
        </w:numPr>
      </w:pPr>
      <w:r w:rsidRPr="002568E7">
        <w:t xml:space="preserve">A relevant protected characteristic is defined in section 4 of the </w:t>
      </w:r>
      <w:r w:rsidR="00E04F41" w:rsidRPr="002568E7">
        <w:t>A</w:t>
      </w:r>
      <w:r w:rsidRPr="002568E7">
        <w:t>ct as</w:t>
      </w:r>
      <w:r w:rsidR="00F91730">
        <w:t>:</w:t>
      </w:r>
      <w:r w:rsidRPr="002568E7">
        <w:t xml:space="preserve"> age, disability, gender reassignment, pregnancy and maternity, race, religion or belief, sex, sexual orientation, and marriage and civil partnerships.</w:t>
      </w:r>
    </w:p>
    <w:p w14:paraId="1AECD074" w14:textId="77777777" w:rsidR="00531B3C" w:rsidRPr="002568E7" w:rsidRDefault="00542D7D" w:rsidP="00DA4B0B">
      <w:pPr>
        <w:pStyle w:val="ListParagraph"/>
        <w:numPr>
          <w:ilvl w:val="0"/>
          <w:numId w:val="10"/>
        </w:numPr>
      </w:pPr>
      <w:r w:rsidRPr="002568E7">
        <w:t xml:space="preserve">The Equality Act 2010 (Specific Duties and Public Authorities) Regulations 2017 require the Council to publish information annually about how it complies with the Public Sector Equality Duty. The information </w:t>
      </w:r>
      <w:r w:rsidRPr="002568E7">
        <w:rPr>
          <w:color w:val="auto"/>
          <w:lang w:eastAsia="en-US"/>
        </w:rPr>
        <w:t>must include, in particular, information relating to persons who share a relevant protected characteristic who are:</w:t>
      </w:r>
    </w:p>
    <w:p w14:paraId="0A05A4B9" w14:textId="77777777" w:rsidR="00531B3C" w:rsidRPr="002568E7" w:rsidRDefault="002E12D2" w:rsidP="00DA4B0B">
      <w:pPr>
        <w:pStyle w:val="ListParagraph"/>
        <w:numPr>
          <w:ilvl w:val="1"/>
          <w:numId w:val="10"/>
        </w:numPr>
        <w:autoSpaceDE w:val="0"/>
        <w:autoSpaceDN w:val="0"/>
        <w:adjustRightInd w:val="0"/>
        <w:spacing w:after="0"/>
        <w:rPr>
          <w:rFonts w:cs="Arial"/>
          <w:color w:val="auto"/>
          <w:lang w:eastAsia="en-US"/>
        </w:rPr>
      </w:pPr>
      <w:r w:rsidRPr="002568E7">
        <w:rPr>
          <w:rFonts w:cs="Arial"/>
          <w:color w:val="auto"/>
          <w:lang w:eastAsia="en-US"/>
        </w:rPr>
        <w:t>I</w:t>
      </w:r>
      <w:r w:rsidR="00542D7D" w:rsidRPr="002568E7">
        <w:rPr>
          <w:rFonts w:cs="Arial"/>
          <w:color w:val="auto"/>
          <w:lang w:eastAsia="en-US"/>
        </w:rPr>
        <w:t>ts employees;</w:t>
      </w:r>
      <w:r w:rsidR="004D31C0" w:rsidRPr="002568E7">
        <w:rPr>
          <w:rFonts w:cs="Arial"/>
          <w:color w:val="auto"/>
          <w:lang w:eastAsia="en-US"/>
        </w:rPr>
        <w:t xml:space="preserve"> and</w:t>
      </w:r>
    </w:p>
    <w:p w14:paraId="158CF1A0" w14:textId="77777777" w:rsidR="00531B3C" w:rsidRDefault="002E12D2" w:rsidP="00DA4B0B">
      <w:pPr>
        <w:pStyle w:val="ListParagraph"/>
        <w:numPr>
          <w:ilvl w:val="1"/>
          <w:numId w:val="10"/>
        </w:numPr>
        <w:autoSpaceDE w:val="0"/>
        <w:autoSpaceDN w:val="0"/>
        <w:adjustRightInd w:val="0"/>
        <w:spacing w:after="0"/>
        <w:rPr>
          <w:rFonts w:cs="Arial"/>
          <w:color w:val="auto"/>
          <w:lang w:eastAsia="en-US"/>
        </w:rPr>
      </w:pPr>
      <w:r w:rsidRPr="002568E7">
        <w:rPr>
          <w:rFonts w:cs="Arial"/>
          <w:color w:val="auto"/>
          <w:lang w:eastAsia="en-US"/>
        </w:rPr>
        <w:t>Other</w:t>
      </w:r>
      <w:r w:rsidR="00542D7D" w:rsidRPr="002568E7">
        <w:rPr>
          <w:rFonts w:cs="Arial"/>
          <w:color w:val="auto"/>
          <w:lang w:eastAsia="en-US"/>
        </w:rPr>
        <w:t xml:space="preserve"> persons affected by its policies and practices.</w:t>
      </w:r>
    </w:p>
    <w:p w14:paraId="4F39783A" w14:textId="77777777" w:rsidR="00063429" w:rsidRDefault="00063429" w:rsidP="00063429">
      <w:pPr>
        <w:pStyle w:val="ListParagraph"/>
        <w:numPr>
          <w:ilvl w:val="0"/>
          <w:numId w:val="0"/>
        </w:numPr>
        <w:autoSpaceDE w:val="0"/>
        <w:autoSpaceDN w:val="0"/>
        <w:adjustRightInd w:val="0"/>
        <w:spacing w:after="0"/>
        <w:ind w:left="796"/>
        <w:rPr>
          <w:rFonts w:cs="Arial"/>
          <w:color w:val="auto"/>
          <w:lang w:eastAsia="en-US"/>
        </w:rPr>
      </w:pPr>
    </w:p>
    <w:p w14:paraId="5ED24D4F" w14:textId="252673E9" w:rsidR="00063429" w:rsidRPr="002568E7" w:rsidRDefault="00063429" w:rsidP="00DA4B0B">
      <w:pPr>
        <w:pStyle w:val="ListParagraph"/>
        <w:numPr>
          <w:ilvl w:val="0"/>
          <w:numId w:val="10"/>
        </w:numPr>
        <w:autoSpaceDE w:val="0"/>
        <w:autoSpaceDN w:val="0"/>
        <w:adjustRightInd w:val="0"/>
        <w:spacing w:after="0"/>
        <w:rPr>
          <w:rFonts w:cs="Arial"/>
          <w:color w:val="auto"/>
          <w:lang w:eastAsia="en-US"/>
        </w:rPr>
      </w:pPr>
      <w:r>
        <w:rPr>
          <w:rFonts w:cs="Arial"/>
          <w:color w:val="auto"/>
          <w:lang w:eastAsia="en-US"/>
        </w:rPr>
        <w:t>This report does not address the requirement in the 2017 regulations to publish information relating to persons other than employees affected by the Council’s policies and practices. That duty is to be discharged separately.</w:t>
      </w:r>
    </w:p>
    <w:p w14:paraId="5B1E453D" w14:textId="77777777" w:rsidR="00531B3C" w:rsidRPr="002568E7" w:rsidRDefault="00531B3C">
      <w:pPr>
        <w:autoSpaceDE w:val="0"/>
        <w:autoSpaceDN w:val="0"/>
        <w:adjustRightInd w:val="0"/>
        <w:spacing w:after="0"/>
        <w:ind w:left="709" w:hanging="709"/>
        <w:rPr>
          <w:rFonts w:ascii="Verdana" w:hAnsi="Verdana" w:cs="Verdana"/>
          <w:color w:val="auto"/>
          <w:sz w:val="25"/>
          <w:szCs w:val="25"/>
          <w:lang w:eastAsia="en-US"/>
        </w:rPr>
      </w:pPr>
    </w:p>
    <w:p w14:paraId="33532541" w14:textId="4EDD50E9" w:rsidR="00531B3C" w:rsidRPr="002568E7" w:rsidRDefault="00542D7D" w:rsidP="00DA4B0B">
      <w:pPr>
        <w:pStyle w:val="ListParagraph"/>
        <w:numPr>
          <w:ilvl w:val="0"/>
          <w:numId w:val="10"/>
        </w:numPr>
        <w:rPr>
          <w:lang w:eastAsia="en-US"/>
        </w:rPr>
      </w:pPr>
      <w:r w:rsidRPr="002568E7">
        <w:rPr>
          <w:lang w:eastAsia="en-US"/>
        </w:rPr>
        <w:t xml:space="preserve">The Regulations also impose obligations on </w:t>
      </w:r>
      <w:r w:rsidR="00E04F41" w:rsidRPr="002568E7">
        <w:rPr>
          <w:lang w:eastAsia="en-US"/>
        </w:rPr>
        <w:t xml:space="preserve">the </w:t>
      </w:r>
      <w:r w:rsidRPr="002568E7">
        <w:rPr>
          <w:lang w:eastAsia="en-US"/>
        </w:rPr>
        <w:t>Council to publish information relating to the “gender pay gap” in the organisation on the snapshot date of 31</w:t>
      </w:r>
      <w:r w:rsidRPr="002568E7">
        <w:rPr>
          <w:vertAlign w:val="superscript"/>
          <w:lang w:eastAsia="en-US"/>
        </w:rPr>
        <w:t>st</w:t>
      </w:r>
      <w:r w:rsidRPr="002568E7">
        <w:rPr>
          <w:lang w:eastAsia="en-US"/>
        </w:rPr>
        <w:t xml:space="preserve"> March in any year. In particular, </w:t>
      </w:r>
      <w:r w:rsidR="00E04F41" w:rsidRPr="002568E7">
        <w:rPr>
          <w:lang w:eastAsia="en-US"/>
        </w:rPr>
        <w:t xml:space="preserve">the </w:t>
      </w:r>
      <w:r w:rsidRPr="002568E7">
        <w:rPr>
          <w:lang w:eastAsia="en-US"/>
        </w:rPr>
        <w:t>Council</w:t>
      </w:r>
      <w:r w:rsidR="00E04F41" w:rsidRPr="002568E7">
        <w:rPr>
          <w:lang w:eastAsia="en-US"/>
        </w:rPr>
        <w:t xml:space="preserve"> i</w:t>
      </w:r>
      <w:r w:rsidRPr="002568E7">
        <w:rPr>
          <w:lang w:eastAsia="en-US"/>
        </w:rPr>
        <w:t>s required to publish the difference between the average hourly rate of pay paid to male and female employees; the difference between the average bonus paid to male and female employees; the proportions of male and of female employees who receive bonuses; and the relative proportions of male and female employees in each quartile pay band of the workforce.</w:t>
      </w:r>
      <w:r w:rsidR="00063429">
        <w:rPr>
          <w:lang w:eastAsia="en-US"/>
        </w:rPr>
        <w:t xml:space="preserve"> The information must be published within 12 months of the relevant snapshot date.</w:t>
      </w:r>
    </w:p>
    <w:p w14:paraId="17C8FE44" w14:textId="77777777" w:rsidR="00531B3C" w:rsidRPr="002568E7" w:rsidRDefault="00542D7D" w:rsidP="00DA4B0B">
      <w:pPr>
        <w:pStyle w:val="ListParagraph"/>
        <w:numPr>
          <w:ilvl w:val="0"/>
          <w:numId w:val="10"/>
        </w:numPr>
        <w:rPr>
          <w:lang w:eastAsia="en-US"/>
        </w:rPr>
      </w:pPr>
      <w:r w:rsidRPr="002568E7">
        <w:rPr>
          <w:lang w:eastAsia="en-US"/>
        </w:rPr>
        <w:lastRenderedPageBreak/>
        <w:t>The Workforce Equality Report and the Action Plan have been prepared in compliance with the requirements of the Act.</w:t>
      </w:r>
    </w:p>
    <w:p w14:paraId="6B0D92D2" w14:textId="77777777" w:rsidR="00B040D6" w:rsidRDefault="00B040D6" w:rsidP="00B040D6">
      <w:pPr>
        <w:pStyle w:val="ListParagraph"/>
        <w:numPr>
          <w:ilvl w:val="0"/>
          <w:numId w:val="0"/>
        </w:numPr>
        <w:ind w:left="360"/>
      </w:pPr>
    </w:p>
    <w:tbl>
      <w:tblPr>
        <w:tblW w:w="8931" w:type="dxa"/>
        <w:tblInd w:w="108" w:type="dxa"/>
        <w:tblBorders>
          <w:top w:val="single" w:sz="4" w:space="0" w:color="C0504D"/>
          <w:left w:val="single" w:sz="4" w:space="0" w:color="C0504D"/>
          <w:bottom w:val="single" w:sz="4" w:space="0" w:color="C0504D"/>
          <w:right w:val="single" w:sz="4" w:space="0" w:color="C0504D"/>
        </w:tblBorders>
        <w:tblLayout w:type="fixed"/>
        <w:tblLook w:val="04A0" w:firstRow="1" w:lastRow="0" w:firstColumn="1" w:lastColumn="0" w:noHBand="0" w:noVBand="1"/>
      </w:tblPr>
      <w:tblGrid>
        <w:gridCol w:w="3969"/>
        <w:gridCol w:w="4962"/>
      </w:tblGrid>
      <w:tr w:rsidR="00531B3C" w14:paraId="41326D1F" w14:textId="77777777">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02C66A4B" w14:textId="77777777" w:rsidR="00531B3C" w:rsidRDefault="00137C8A">
            <w:pPr>
              <w:rPr>
                <w:b/>
              </w:rPr>
            </w:pPr>
            <w:r>
              <w:br w:type="page"/>
            </w:r>
            <w:r w:rsidR="00575A7D">
              <w:br w:type="page"/>
            </w:r>
            <w:r w:rsidR="00542D7D">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0E87739" w14:textId="69CAD754" w:rsidR="00531B3C" w:rsidRDefault="002568E7" w:rsidP="002568E7">
            <w:r>
              <w:t>Gail Malkin</w:t>
            </w:r>
          </w:p>
        </w:tc>
      </w:tr>
      <w:tr w:rsidR="00531B3C" w14:paraId="4C05DD4E" w14:textId="77777777">
        <w:trPr>
          <w:cantSplit/>
          <w:trHeight w:val="396"/>
        </w:trPr>
        <w:tc>
          <w:tcPr>
            <w:tcW w:w="3969" w:type="dxa"/>
            <w:tcBorders>
              <w:top w:val="single" w:sz="8" w:space="0" w:color="000000"/>
              <w:left w:val="single" w:sz="8" w:space="0" w:color="000000"/>
              <w:bottom w:val="nil"/>
              <w:right w:val="nil"/>
            </w:tcBorders>
            <w:shd w:val="clear" w:color="auto" w:fill="auto"/>
          </w:tcPr>
          <w:p w14:paraId="46911D92" w14:textId="77777777" w:rsidR="00531B3C" w:rsidRDefault="00542D7D">
            <w:r>
              <w:t>Job title</w:t>
            </w:r>
          </w:p>
        </w:tc>
        <w:tc>
          <w:tcPr>
            <w:tcW w:w="4962" w:type="dxa"/>
            <w:tcBorders>
              <w:top w:val="single" w:sz="8" w:space="0" w:color="000000"/>
              <w:left w:val="nil"/>
              <w:bottom w:val="nil"/>
              <w:right w:val="single" w:sz="8" w:space="0" w:color="000000"/>
            </w:tcBorders>
            <w:shd w:val="clear" w:color="auto" w:fill="auto"/>
          </w:tcPr>
          <w:p w14:paraId="482845AD" w14:textId="7EE67FC6" w:rsidR="00531B3C" w:rsidRDefault="00542D7D" w:rsidP="002568E7">
            <w:r>
              <w:t xml:space="preserve">Head of </w:t>
            </w:r>
            <w:r w:rsidR="002568E7">
              <w:t>People</w:t>
            </w:r>
          </w:p>
        </w:tc>
      </w:tr>
      <w:tr w:rsidR="00531B3C" w14:paraId="6037713E" w14:textId="77777777">
        <w:trPr>
          <w:cantSplit/>
          <w:trHeight w:val="396"/>
        </w:trPr>
        <w:tc>
          <w:tcPr>
            <w:tcW w:w="3969" w:type="dxa"/>
            <w:tcBorders>
              <w:top w:val="nil"/>
              <w:left w:val="single" w:sz="8" w:space="0" w:color="000000"/>
              <w:bottom w:val="nil"/>
              <w:right w:val="nil"/>
            </w:tcBorders>
            <w:shd w:val="clear" w:color="auto" w:fill="auto"/>
          </w:tcPr>
          <w:p w14:paraId="1807E2EA" w14:textId="77777777" w:rsidR="00531B3C" w:rsidRDefault="00542D7D">
            <w:r>
              <w:t>Service area or department</w:t>
            </w:r>
          </w:p>
        </w:tc>
        <w:tc>
          <w:tcPr>
            <w:tcW w:w="4962" w:type="dxa"/>
            <w:tcBorders>
              <w:top w:val="nil"/>
              <w:left w:val="nil"/>
              <w:bottom w:val="nil"/>
              <w:right w:val="single" w:sz="8" w:space="0" w:color="000000"/>
            </w:tcBorders>
            <w:shd w:val="clear" w:color="auto" w:fill="auto"/>
          </w:tcPr>
          <w:p w14:paraId="0198DBDD" w14:textId="77AF6B24" w:rsidR="00531B3C" w:rsidRDefault="00646A5B">
            <w:r>
              <w:t>People Services</w:t>
            </w:r>
          </w:p>
        </w:tc>
      </w:tr>
      <w:tr w:rsidR="00531B3C" w14:paraId="751EC4B9" w14:textId="77777777">
        <w:trPr>
          <w:cantSplit/>
          <w:trHeight w:val="396"/>
        </w:trPr>
        <w:tc>
          <w:tcPr>
            <w:tcW w:w="3969" w:type="dxa"/>
            <w:tcBorders>
              <w:top w:val="nil"/>
              <w:left w:val="single" w:sz="8" w:space="0" w:color="000000"/>
              <w:bottom w:val="single" w:sz="8" w:space="0" w:color="000000"/>
              <w:right w:val="nil"/>
            </w:tcBorders>
            <w:shd w:val="clear" w:color="auto" w:fill="auto"/>
          </w:tcPr>
          <w:p w14:paraId="51A72159" w14:textId="77777777" w:rsidR="00531B3C" w:rsidRDefault="00542D7D">
            <w:r>
              <w:t xml:space="preserve">e-mail </w:t>
            </w:r>
          </w:p>
        </w:tc>
        <w:tc>
          <w:tcPr>
            <w:tcW w:w="4962" w:type="dxa"/>
            <w:tcBorders>
              <w:top w:val="nil"/>
              <w:left w:val="nil"/>
              <w:bottom w:val="single" w:sz="8" w:space="0" w:color="000000"/>
              <w:right w:val="single" w:sz="8" w:space="0" w:color="000000"/>
            </w:tcBorders>
            <w:shd w:val="clear" w:color="auto" w:fill="auto"/>
          </w:tcPr>
          <w:p w14:paraId="13B72BFA" w14:textId="05C741D9" w:rsidR="002568E7" w:rsidRPr="00805313" w:rsidRDefault="008D3E4F" w:rsidP="002568E7">
            <w:pPr>
              <w:rPr>
                <w:rStyle w:val="Hyperlink"/>
                <w:color w:val="000000"/>
                <w:u w:val="none"/>
              </w:rPr>
            </w:pPr>
            <w:hyperlink r:id="rId13" w:history="1">
              <w:r w:rsidR="002568E7" w:rsidRPr="00440B23">
                <w:rPr>
                  <w:rStyle w:val="Hyperlink"/>
                </w:rPr>
                <w:t>gmalkin@oxford.gov.uk</w:t>
              </w:r>
            </w:hyperlink>
          </w:p>
        </w:tc>
      </w:tr>
    </w:tbl>
    <w:p w14:paraId="386DE22C" w14:textId="77777777" w:rsidR="00531B3C" w:rsidRDefault="00531B3C"/>
    <w:tbl>
      <w:tblPr>
        <w:tblW w:w="88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531B3C" w14:paraId="5D824D96" w14:textId="77777777" w:rsidTr="00E16AA7">
        <w:trPr>
          <w:trHeight w:val="309"/>
        </w:trPr>
        <w:tc>
          <w:tcPr>
            <w:tcW w:w="8849" w:type="dxa"/>
            <w:tcBorders>
              <w:top w:val="single" w:sz="4" w:space="0" w:color="auto"/>
              <w:left w:val="single" w:sz="4" w:space="0" w:color="auto"/>
              <w:bottom w:val="single" w:sz="8" w:space="0" w:color="000000"/>
              <w:right w:val="single" w:sz="4" w:space="0" w:color="auto"/>
            </w:tcBorders>
            <w:shd w:val="clear" w:color="auto" w:fill="auto"/>
          </w:tcPr>
          <w:p w14:paraId="6A8A7A4A" w14:textId="77777777" w:rsidR="00531B3C" w:rsidRDefault="00542D7D">
            <w:r>
              <w:rPr>
                <w:rStyle w:val="Firstpagetablebold"/>
              </w:rPr>
              <w:t xml:space="preserve">Background Papers: </w:t>
            </w:r>
            <w:r>
              <w:rPr>
                <w:rStyle w:val="Firstpagetablebold"/>
                <w:b w:val="0"/>
              </w:rPr>
              <w:t>None</w:t>
            </w:r>
          </w:p>
        </w:tc>
      </w:tr>
    </w:tbl>
    <w:p w14:paraId="6AE75220" w14:textId="77777777" w:rsidR="00531B3C" w:rsidRDefault="00531B3C"/>
    <w:sectPr w:rsidR="00531B3C">
      <w:footerReference w:type="even" r:id="rId14"/>
      <w:headerReference w:type="first" r:id="rId15"/>
      <w:footerReference w:type="first" r:id="rId16"/>
      <w:pgSz w:w="11906" w:h="16838"/>
      <w:pgMar w:top="1276" w:right="1304" w:bottom="1304" w:left="1304" w:header="1134" w:footer="68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BD95" w14:textId="77777777" w:rsidR="006F3EAF" w:rsidRDefault="006F3EAF">
      <w:pPr>
        <w:spacing w:after="0" w:line="240" w:lineRule="auto"/>
      </w:pPr>
      <w:r>
        <w:separator/>
      </w:r>
    </w:p>
  </w:endnote>
  <w:endnote w:type="continuationSeparator" w:id="0">
    <w:p w14:paraId="32059DD5" w14:textId="77777777" w:rsidR="006F3EAF" w:rsidRDefault="006F3EAF">
      <w:pPr>
        <w:spacing w:after="0" w:line="240" w:lineRule="auto"/>
      </w:pPr>
      <w:r>
        <w:continuationSeparator/>
      </w:r>
    </w:p>
  </w:endnote>
  <w:endnote w:type="continuationNotice" w:id="1">
    <w:p w14:paraId="2CABDA3E" w14:textId="77777777" w:rsidR="006F3EAF" w:rsidRDefault="006F3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E5A0" w14:textId="77777777" w:rsidR="003B11B5" w:rsidRDefault="003B11B5">
    <w:pPr>
      <w:pStyle w:val="Footer"/>
    </w:pPr>
    <w:r>
      <w:t>Do not use a footer or page numbers.</w:t>
    </w:r>
  </w:p>
  <w:p w14:paraId="31C6F35B" w14:textId="77777777" w:rsidR="003B11B5" w:rsidRDefault="003B11B5">
    <w:pPr>
      <w:pStyle w:val="Footer"/>
    </w:pPr>
  </w:p>
  <w:p w14:paraId="3872C7CB" w14:textId="77777777" w:rsidR="003B11B5" w:rsidRDefault="003B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86A9" w14:textId="77777777" w:rsidR="003B11B5" w:rsidRDefault="003B11B5">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8ACB" w14:textId="77777777" w:rsidR="006F3EAF" w:rsidRDefault="006F3EAF">
      <w:pPr>
        <w:spacing w:after="0" w:line="240" w:lineRule="auto"/>
      </w:pPr>
      <w:r>
        <w:separator/>
      </w:r>
    </w:p>
  </w:footnote>
  <w:footnote w:type="continuationSeparator" w:id="0">
    <w:p w14:paraId="2BFAD108" w14:textId="77777777" w:rsidR="006F3EAF" w:rsidRDefault="006F3EAF">
      <w:pPr>
        <w:spacing w:after="0" w:line="240" w:lineRule="auto"/>
      </w:pPr>
      <w:r>
        <w:continuationSeparator/>
      </w:r>
    </w:p>
  </w:footnote>
  <w:footnote w:type="continuationNotice" w:id="1">
    <w:p w14:paraId="253EC8FA" w14:textId="77777777" w:rsidR="006F3EAF" w:rsidRDefault="006F3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ACC6" w14:textId="77777777" w:rsidR="003B11B5" w:rsidRDefault="003B11B5">
    <w:pPr>
      <w:pStyle w:val="Header"/>
      <w:jc w:val="right"/>
    </w:pPr>
    <w:r>
      <w:rPr>
        <w:noProof/>
      </w:rPr>
      <w:drawing>
        <wp:inline distT="0" distB="0" distL="0" distR="0" wp14:anchorId="6DFD5946" wp14:editId="2B56B590">
          <wp:extent cx="835025" cy="1121410"/>
          <wp:effectExtent l="0" t="0" r="3175" b="2540"/>
          <wp:docPr id="2" name="Picture 2"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5025" cy="1121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FE729E"/>
    <w:multiLevelType w:val="multilevel"/>
    <w:tmpl w:val="EFD663E6"/>
    <w:lvl w:ilvl="0">
      <w:start w:val="41"/>
      <w:numFmt w:val="decimal"/>
      <w:lvlText w:val="%1."/>
      <w:lvlJc w:val="left"/>
      <w:pPr>
        <w:ind w:left="360" w:hanging="360"/>
      </w:pPr>
      <w:rPr>
        <w:rFonts w:hint="default"/>
      </w:rPr>
    </w:lvl>
    <w:lvl w:ilvl="1">
      <w:start w:val="1"/>
      <w:numFmt w:val="lowerLetter"/>
      <w:lvlText w:val="(%2)"/>
      <w:lvlJc w:val="left"/>
      <w:pPr>
        <w:ind w:left="796" w:hanging="360"/>
      </w:pPr>
      <w:rPr>
        <w:rFonts w:hint="default"/>
      </w:rPr>
    </w:lvl>
    <w:lvl w:ilvl="2">
      <w:start w:val="1"/>
      <w:numFmt w:val="lowerRoman"/>
      <w:lvlText w:val="%3."/>
      <w:lvlJc w:val="right"/>
      <w:pPr>
        <w:ind w:left="1516" w:hanging="180"/>
      </w:pPr>
      <w:rPr>
        <w:rFonts w:hint="default"/>
      </w:rPr>
    </w:lvl>
    <w:lvl w:ilvl="3">
      <w:start w:val="1"/>
      <w:numFmt w:val="decimal"/>
      <w:lvlText w:val="%4."/>
      <w:lvlJc w:val="left"/>
      <w:pPr>
        <w:ind w:left="2236" w:hanging="360"/>
      </w:pPr>
      <w:rPr>
        <w:rFonts w:hint="default"/>
      </w:rPr>
    </w:lvl>
    <w:lvl w:ilvl="4">
      <w:start w:val="1"/>
      <w:numFmt w:val="lowerLetter"/>
      <w:lvlText w:val="%5."/>
      <w:lvlJc w:val="left"/>
      <w:pPr>
        <w:ind w:left="2956" w:hanging="360"/>
      </w:pPr>
      <w:rPr>
        <w:rFonts w:hint="default"/>
      </w:rPr>
    </w:lvl>
    <w:lvl w:ilvl="5">
      <w:start w:val="1"/>
      <w:numFmt w:val="lowerRoman"/>
      <w:lvlText w:val="%6."/>
      <w:lvlJc w:val="right"/>
      <w:pPr>
        <w:ind w:left="3676" w:hanging="180"/>
      </w:pPr>
      <w:rPr>
        <w:rFonts w:hint="default"/>
      </w:rPr>
    </w:lvl>
    <w:lvl w:ilvl="6">
      <w:start w:val="1"/>
      <w:numFmt w:val="decimal"/>
      <w:lvlText w:val="%7."/>
      <w:lvlJc w:val="left"/>
      <w:pPr>
        <w:ind w:left="4396" w:hanging="360"/>
      </w:pPr>
      <w:rPr>
        <w:rFonts w:hint="default"/>
      </w:rPr>
    </w:lvl>
    <w:lvl w:ilvl="7">
      <w:start w:val="1"/>
      <w:numFmt w:val="lowerLetter"/>
      <w:lvlText w:val="%8."/>
      <w:lvlJc w:val="left"/>
      <w:pPr>
        <w:ind w:left="5116" w:hanging="360"/>
      </w:pPr>
      <w:rPr>
        <w:rFonts w:hint="default"/>
      </w:rPr>
    </w:lvl>
    <w:lvl w:ilvl="8">
      <w:start w:val="1"/>
      <w:numFmt w:val="lowerRoman"/>
      <w:lvlText w:val="%9."/>
      <w:lvlJc w:val="right"/>
      <w:pPr>
        <w:ind w:left="5836" w:hanging="180"/>
      </w:pPr>
      <w:rPr>
        <w:rFonts w:hint="default"/>
      </w:rPr>
    </w:lvl>
  </w:abstractNum>
  <w:abstractNum w:abstractNumId="2" w15:restartNumberingAfterBreak="0">
    <w:nsid w:val="107C0F85"/>
    <w:multiLevelType w:val="hybridMultilevel"/>
    <w:tmpl w:val="4EC08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C82BA5"/>
    <w:multiLevelType w:val="hybridMultilevel"/>
    <w:tmpl w:val="72DAA0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F732E0A"/>
    <w:multiLevelType w:val="hybridMultilevel"/>
    <w:tmpl w:val="082283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F912AD5"/>
    <w:multiLevelType w:val="hybridMultilevel"/>
    <w:tmpl w:val="1F28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65CED"/>
    <w:multiLevelType w:val="hybridMultilevel"/>
    <w:tmpl w:val="ABCC4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980FC5"/>
    <w:multiLevelType w:val="multilevel"/>
    <w:tmpl w:val="20980FC5"/>
    <w:lvl w:ilvl="0">
      <w:start w:val="1"/>
      <w:numFmt w:val="bullet"/>
      <w:pStyle w:val="Bulletpoints"/>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4F63EA"/>
    <w:multiLevelType w:val="hybridMultilevel"/>
    <w:tmpl w:val="BD1A4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881E30"/>
    <w:multiLevelType w:val="multilevel"/>
    <w:tmpl w:val="3F52BA8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CD37E33"/>
    <w:multiLevelType w:val="hybridMultilevel"/>
    <w:tmpl w:val="6B9476AC"/>
    <w:lvl w:ilvl="0" w:tplc="08090001">
      <w:start w:val="1"/>
      <w:numFmt w:val="bullet"/>
      <w:lvlText w:val=""/>
      <w:lvlJc w:val="left"/>
      <w:pPr>
        <w:ind w:left="340" w:hanging="34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A7494C"/>
    <w:multiLevelType w:val="hybridMultilevel"/>
    <w:tmpl w:val="D890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7056B"/>
    <w:multiLevelType w:val="hybridMultilevel"/>
    <w:tmpl w:val="2996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F3006"/>
    <w:multiLevelType w:val="hybridMultilevel"/>
    <w:tmpl w:val="38103D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9B521E1"/>
    <w:multiLevelType w:val="hybridMultilevel"/>
    <w:tmpl w:val="D0F85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9F2B3C"/>
    <w:multiLevelType w:val="multilevel"/>
    <w:tmpl w:val="6A9F2B3C"/>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BB6309"/>
    <w:multiLevelType w:val="hybridMultilevel"/>
    <w:tmpl w:val="5AB2D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CC6B00"/>
    <w:multiLevelType w:val="multilevel"/>
    <w:tmpl w:val="DCB475BE"/>
    <w:lvl w:ilvl="0">
      <w:start w:val="36"/>
      <w:numFmt w:val="decimal"/>
      <w:pStyle w:val="ListParagraph"/>
      <w:lvlText w:val="%1."/>
      <w:lvlJc w:val="left"/>
      <w:pPr>
        <w:ind w:left="360" w:hanging="360"/>
      </w:pPr>
      <w:rPr>
        <w:rFonts w:ascii="Arial" w:hAnsi="Arial" w:hint="default"/>
        <w:b w:val="0"/>
        <w:color w:val="000000" w:themeColor="text1"/>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0BF1861"/>
    <w:multiLevelType w:val="hybridMultilevel"/>
    <w:tmpl w:val="07F6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73673"/>
    <w:multiLevelType w:val="hybridMultilevel"/>
    <w:tmpl w:val="A7CEF980"/>
    <w:lvl w:ilvl="0" w:tplc="C2F47EAA">
      <w:start w:val="1"/>
      <w:numFmt w:val="decimal"/>
      <w:lvlText w:val="%1."/>
      <w:lvlJc w:val="left"/>
      <w:pPr>
        <w:ind w:left="340" w:hanging="3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525133"/>
    <w:multiLevelType w:val="hybridMultilevel"/>
    <w:tmpl w:val="6F44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178167">
    <w:abstractNumId w:val="7"/>
  </w:num>
  <w:num w:numId="2" w16cid:durableId="204488911">
    <w:abstractNumId w:val="15"/>
  </w:num>
  <w:num w:numId="3" w16cid:durableId="2121365571">
    <w:abstractNumId w:val="9"/>
  </w:num>
  <w:num w:numId="4" w16cid:durableId="1279875237">
    <w:abstractNumId w:val="5"/>
  </w:num>
  <w:num w:numId="5" w16cid:durableId="1949048744">
    <w:abstractNumId w:val="12"/>
  </w:num>
  <w:num w:numId="6" w16cid:durableId="302125121">
    <w:abstractNumId w:val="0"/>
  </w:num>
  <w:num w:numId="7" w16cid:durableId="1106075198">
    <w:abstractNumId w:val="13"/>
  </w:num>
  <w:num w:numId="8" w16cid:durableId="1518693797">
    <w:abstractNumId w:val="3"/>
  </w:num>
  <w:num w:numId="9" w16cid:durableId="32776478">
    <w:abstractNumId w:val="2"/>
  </w:num>
  <w:num w:numId="10" w16cid:durableId="408963753">
    <w:abstractNumId w:val="1"/>
  </w:num>
  <w:num w:numId="11" w16cid:durableId="2143959873">
    <w:abstractNumId w:val="4"/>
  </w:num>
  <w:num w:numId="12" w16cid:durableId="296617011">
    <w:abstractNumId w:val="17"/>
  </w:num>
  <w:num w:numId="13" w16cid:durableId="1128164843">
    <w:abstractNumId w:val="14"/>
  </w:num>
  <w:num w:numId="14" w16cid:durableId="341859445">
    <w:abstractNumId w:val="8"/>
  </w:num>
  <w:num w:numId="15" w16cid:durableId="1994064188">
    <w:abstractNumId w:val="11"/>
  </w:num>
  <w:num w:numId="16" w16cid:durableId="595525749">
    <w:abstractNumId w:val="18"/>
  </w:num>
  <w:num w:numId="17" w16cid:durableId="845022093">
    <w:abstractNumId w:val="16"/>
  </w:num>
  <w:num w:numId="18" w16cid:durableId="472901">
    <w:abstractNumId w:val="19"/>
  </w:num>
  <w:num w:numId="19" w16cid:durableId="1536384785">
    <w:abstractNumId w:val="10"/>
  </w:num>
  <w:num w:numId="20" w16cid:durableId="165245221">
    <w:abstractNumId w:val="20"/>
  </w:num>
  <w:num w:numId="21" w16cid:durableId="1278872757">
    <w:abstractNumId w:val="6"/>
  </w:num>
  <w:num w:numId="22" w16cid:durableId="30955919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DaxNLKwNLI0NjRT0lEKTi0uzszPAykwrQUAPUM88SwAAAA="/>
  </w:docVars>
  <w:rsids>
    <w:rsidRoot w:val="00673DD0"/>
    <w:rsid w:val="00000929"/>
    <w:rsid w:val="00001204"/>
    <w:rsid w:val="00002E8A"/>
    <w:rsid w:val="000034FF"/>
    <w:rsid w:val="00004966"/>
    <w:rsid w:val="0001026D"/>
    <w:rsid w:val="000117D4"/>
    <w:rsid w:val="00013BA7"/>
    <w:rsid w:val="00014585"/>
    <w:rsid w:val="00020CB8"/>
    <w:rsid w:val="00020EE6"/>
    <w:rsid w:val="000210FF"/>
    <w:rsid w:val="000217C1"/>
    <w:rsid w:val="000271AE"/>
    <w:rsid w:val="000273E3"/>
    <w:rsid w:val="00030123"/>
    <w:rsid w:val="00030917"/>
    <w:rsid w:val="000314D7"/>
    <w:rsid w:val="00031C64"/>
    <w:rsid w:val="000415C3"/>
    <w:rsid w:val="00042FE7"/>
    <w:rsid w:val="000443AD"/>
    <w:rsid w:val="00045ED9"/>
    <w:rsid w:val="00045F8B"/>
    <w:rsid w:val="00046D2B"/>
    <w:rsid w:val="00050116"/>
    <w:rsid w:val="00055077"/>
    <w:rsid w:val="000550E0"/>
    <w:rsid w:val="00056263"/>
    <w:rsid w:val="0006060A"/>
    <w:rsid w:val="000608F4"/>
    <w:rsid w:val="00061073"/>
    <w:rsid w:val="00061C82"/>
    <w:rsid w:val="00063429"/>
    <w:rsid w:val="00064D8A"/>
    <w:rsid w:val="00064F82"/>
    <w:rsid w:val="00066510"/>
    <w:rsid w:val="000701CD"/>
    <w:rsid w:val="00071618"/>
    <w:rsid w:val="0007175F"/>
    <w:rsid w:val="00072C81"/>
    <w:rsid w:val="00074B37"/>
    <w:rsid w:val="00077523"/>
    <w:rsid w:val="000824E6"/>
    <w:rsid w:val="000839A2"/>
    <w:rsid w:val="00083CB0"/>
    <w:rsid w:val="00091303"/>
    <w:rsid w:val="00091ADC"/>
    <w:rsid w:val="0009464D"/>
    <w:rsid w:val="00096861"/>
    <w:rsid w:val="000A3AD7"/>
    <w:rsid w:val="000A603E"/>
    <w:rsid w:val="000B08D7"/>
    <w:rsid w:val="000B0A3D"/>
    <w:rsid w:val="000B3017"/>
    <w:rsid w:val="000B33FD"/>
    <w:rsid w:val="000B6022"/>
    <w:rsid w:val="000C089F"/>
    <w:rsid w:val="000C1B1D"/>
    <w:rsid w:val="000C3928"/>
    <w:rsid w:val="000C3D61"/>
    <w:rsid w:val="000C5E8E"/>
    <w:rsid w:val="000D0057"/>
    <w:rsid w:val="000D074B"/>
    <w:rsid w:val="000D5E61"/>
    <w:rsid w:val="000E0DBA"/>
    <w:rsid w:val="000E36B7"/>
    <w:rsid w:val="000E7E6B"/>
    <w:rsid w:val="000F01B4"/>
    <w:rsid w:val="000F0F03"/>
    <w:rsid w:val="000F0FE8"/>
    <w:rsid w:val="000F1AEE"/>
    <w:rsid w:val="000F3189"/>
    <w:rsid w:val="000F3CBA"/>
    <w:rsid w:val="000F419F"/>
    <w:rsid w:val="000F4751"/>
    <w:rsid w:val="00100028"/>
    <w:rsid w:val="00100D96"/>
    <w:rsid w:val="001014B1"/>
    <w:rsid w:val="00102522"/>
    <w:rsid w:val="00102E95"/>
    <w:rsid w:val="0010344A"/>
    <w:rsid w:val="0010398F"/>
    <w:rsid w:val="0010524C"/>
    <w:rsid w:val="001056EA"/>
    <w:rsid w:val="00111FB1"/>
    <w:rsid w:val="00113418"/>
    <w:rsid w:val="00114060"/>
    <w:rsid w:val="00115247"/>
    <w:rsid w:val="00116142"/>
    <w:rsid w:val="00121DF2"/>
    <w:rsid w:val="00122472"/>
    <w:rsid w:val="00123514"/>
    <w:rsid w:val="00124181"/>
    <w:rsid w:val="00126441"/>
    <w:rsid w:val="00126D19"/>
    <w:rsid w:val="00127ED7"/>
    <w:rsid w:val="00131CC7"/>
    <w:rsid w:val="0013327A"/>
    <w:rsid w:val="001356F1"/>
    <w:rsid w:val="00136907"/>
    <w:rsid w:val="00136994"/>
    <w:rsid w:val="00137C8A"/>
    <w:rsid w:val="0014128E"/>
    <w:rsid w:val="00146A4B"/>
    <w:rsid w:val="00151087"/>
    <w:rsid w:val="00151888"/>
    <w:rsid w:val="00151FF5"/>
    <w:rsid w:val="00154AD2"/>
    <w:rsid w:val="00155114"/>
    <w:rsid w:val="00155CF7"/>
    <w:rsid w:val="001600B8"/>
    <w:rsid w:val="001607AE"/>
    <w:rsid w:val="00160DC2"/>
    <w:rsid w:val="0016181A"/>
    <w:rsid w:val="001625BE"/>
    <w:rsid w:val="001628A3"/>
    <w:rsid w:val="00165129"/>
    <w:rsid w:val="00165A75"/>
    <w:rsid w:val="001676A2"/>
    <w:rsid w:val="00170033"/>
    <w:rsid w:val="00170A2D"/>
    <w:rsid w:val="0017196F"/>
    <w:rsid w:val="001721F8"/>
    <w:rsid w:val="00173A38"/>
    <w:rsid w:val="00174F1D"/>
    <w:rsid w:val="001752AD"/>
    <w:rsid w:val="00176B1D"/>
    <w:rsid w:val="001808BC"/>
    <w:rsid w:val="00182B81"/>
    <w:rsid w:val="00185605"/>
    <w:rsid w:val="0018619D"/>
    <w:rsid w:val="001867D0"/>
    <w:rsid w:val="0018781E"/>
    <w:rsid w:val="001914CD"/>
    <w:rsid w:val="00191854"/>
    <w:rsid w:val="00192B30"/>
    <w:rsid w:val="00194366"/>
    <w:rsid w:val="001A011E"/>
    <w:rsid w:val="001A066A"/>
    <w:rsid w:val="001A13E6"/>
    <w:rsid w:val="001A2FD8"/>
    <w:rsid w:val="001A44A9"/>
    <w:rsid w:val="001A5731"/>
    <w:rsid w:val="001A62E3"/>
    <w:rsid w:val="001A6639"/>
    <w:rsid w:val="001A6DA8"/>
    <w:rsid w:val="001A7CC2"/>
    <w:rsid w:val="001B0272"/>
    <w:rsid w:val="001B42C3"/>
    <w:rsid w:val="001B4C7B"/>
    <w:rsid w:val="001C1F60"/>
    <w:rsid w:val="001C2C1F"/>
    <w:rsid w:val="001C5D5E"/>
    <w:rsid w:val="001C61E6"/>
    <w:rsid w:val="001C72DB"/>
    <w:rsid w:val="001D0600"/>
    <w:rsid w:val="001D0610"/>
    <w:rsid w:val="001D0F77"/>
    <w:rsid w:val="001D22E2"/>
    <w:rsid w:val="001D3AF7"/>
    <w:rsid w:val="001D3BB5"/>
    <w:rsid w:val="001D5C3A"/>
    <w:rsid w:val="001D655E"/>
    <w:rsid w:val="001D678D"/>
    <w:rsid w:val="001D7C00"/>
    <w:rsid w:val="001E03F8"/>
    <w:rsid w:val="001E1678"/>
    <w:rsid w:val="001E318F"/>
    <w:rsid w:val="001E3376"/>
    <w:rsid w:val="001E34E2"/>
    <w:rsid w:val="001E7939"/>
    <w:rsid w:val="001F118E"/>
    <w:rsid w:val="001F1B38"/>
    <w:rsid w:val="001F3B30"/>
    <w:rsid w:val="001F428D"/>
    <w:rsid w:val="0020079E"/>
    <w:rsid w:val="00200C0C"/>
    <w:rsid w:val="002069B3"/>
    <w:rsid w:val="0021252A"/>
    <w:rsid w:val="00214FA2"/>
    <w:rsid w:val="00215488"/>
    <w:rsid w:val="0021768A"/>
    <w:rsid w:val="002200D9"/>
    <w:rsid w:val="00221957"/>
    <w:rsid w:val="002329CF"/>
    <w:rsid w:val="00232F5B"/>
    <w:rsid w:val="00233FFF"/>
    <w:rsid w:val="00237087"/>
    <w:rsid w:val="002377A1"/>
    <w:rsid w:val="00243332"/>
    <w:rsid w:val="002444A6"/>
    <w:rsid w:val="00244889"/>
    <w:rsid w:val="00247C29"/>
    <w:rsid w:val="00254FFF"/>
    <w:rsid w:val="00255444"/>
    <w:rsid w:val="0025659A"/>
    <w:rsid w:val="002568E7"/>
    <w:rsid w:val="00260260"/>
    <w:rsid w:val="00260467"/>
    <w:rsid w:val="00262C6A"/>
    <w:rsid w:val="00263DD9"/>
    <w:rsid w:val="00263EA3"/>
    <w:rsid w:val="00265DAE"/>
    <w:rsid w:val="002662C3"/>
    <w:rsid w:val="002667F7"/>
    <w:rsid w:val="002712C6"/>
    <w:rsid w:val="002746D6"/>
    <w:rsid w:val="00274B7D"/>
    <w:rsid w:val="00274CCA"/>
    <w:rsid w:val="00274F48"/>
    <w:rsid w:val="002817B1"/>
    <w:rsid w:val="0028329E"/>
    <w:rsid w:val="00284F85"/>
    <w:rsid w:val="00286858"/>
    <w:rsid w:val="002873D7"/>
    <w:rsid w:val="00287619"/>
    <w:rsid w:val="00287911"/>
    <w:rsid w:val="00290915"/>
    <w:rsid w:val="00291B5B"/>
    <w:rsid w:val="00294E7D"/>
    <w:rsid w:val="00295087"/>
    <w:rsid w:val="00295B51"/>
    <w:rsid w:val="002A22E2"/>
    <w:rsid w:val="002A2991"/>
    <w:rsid w:val="002A2E4C"/>
    <w:rsid w:val="002A5B02"/>
    <w:rsid w:val="002B239A"/>
    <w:rsid w:val="002B3FBE"/>
    <w:rsid w:val="002C04B1"/>
    <w:rsid w:val="002C31E2"/>
    <w:rsid w:val="002C64F7"/>
    <w:rsid w:val="002C7991"/>
    <w:rsid w:val="002D0BA1"/>
    <w:rsid w:val="002D2C4A"/>
    <w:rsid w:val="002D78A6"/>
    <w:rsid w:val="002E12D2"/>
    <w:rsid w:val="002E204B"/>
    <w:rsid w:val="002E661E"/>
    <w:rsid w:val="002F20FC"/>
    <w:rsid w:val="002F3C4A"/>
    <w:rsid w:val="002F41F2"/>
    <w:rsid w:val="00301BF3"/>
    <w:rsid w:val="0030208D"/>
    <w:rsid w:val="00302207"/>
    <w:rsid w:val="00302F81"/>
    <w:rsid w:val="00302FB1"/>
    <w:rsid w:val="00313D19"/>
    <w:rsid w:val="00317CE8"/>
    <w:rsid w:val="00320660"/>
    <w:rsid w:val="0032325E"/>
    <w:rsid w:val="00323418"/>
    <w:rsid w:val="00325749"/>
    <w:rsid w:val="0032668D"/>
    <w:rsid w:val="0032682E"/>
    <w:rsid w:val="00327012"/>
    <w:rsid w:val="00331931"/>
    <w:rsid w:val="0033359A"/>
    <w:rsid w:val="00335610"/>
    <w:rsid w:val="003357BF"/>
    <w:rsid w:val="00337CE8"/>
    <w:rsid w:val="00340723"/>
    <w:rsid w:val="00340EEA"/>
    <w:rsid w:val="003438D2"/>
    <w:rsid w:val="00344725"/>
    <w:rsid w:val="003455C8"/>
    <w:rsid w:val="00346556"/>
    <w:rsid w:val="00346EA7"/>
    <w:rsid w:val="00355962"/>
    <w:rsid w:val="00357AFE"/>
    <w:rsid w:val="00357C3B"/>
    <w:rsid w:val="003611CE"/>
    <w:rsid w:val="00364738"/>
    <w:rsid w:val="00364FAD"/>
    <w:rsid w:val="0036738F"/>
    <w:rsid w:val="003673A0"/>
    <w:rsid w:val="0036759C"/>
    <w:rsid w:val="00367AE5"/>
    <w:rsid w:val="00367D71"/>
    <w:rsid w:val="003730ED"/>
    <w:rsid w:val="003733CB"/>
    <w:rsid w:val="003745F3"/>
    <w:rsid w:val="00374CDA"/>
    <w:rsid w:val="00376E45"/>
    <w:rsid w:val="0038150A"/>
    <w:rsid w:val="003826A1"/>
    <w:rsid w:val="00383618"/>
    <w:rsid w:val="0038456F"/>
    <w:rsid w:val="00386F63"/>
    <w:rsid w:val="00391577"/>
    <w:rsid w:val="00391D91"/>
    <w:rsid w:val="00392B24"/>
    <w:rsid w:val="00393468"/>
    <w:rsid w:val="00395E28"/>
    <w:rsid w:val="00396D8C"/>
    <w:rsid w:val="003A5E3B"/>
    <w:rsid w:val="003B1152"/>
    <w:rsid w:val="003B11B5"/>
    <w:rsid w:val="003B26B6"/>
    <w:rsid w:val="003B4284"/>
    <w:rsid w:val="003B6E75"/>
    <w:rsid w:val="003B7DA1"/>
    <w:rsid w:val="003C0F57"/>
    <w:rsid w:val="003C119C"/>
    <w:rsid w:val="003C1AD7"/>
    <w:rsid w:val="003C1DD5"/>
    <w:rsid w:val="003C4084"/>
    <w:rsid w:val="003C4C65"/>
    <w:rsid w:val="003C5B0D"/>
    <w:rsid w:val="003C659D"/>
    <w:rsid w:val="003C690C"/>
    <w:rsid w:val="003C6A97"/>
    <w:rsid w:val="003D0379"/>
    <w:rsid w:val="003D0B52"/>
    <w:rsid w:val="003D0D22"/>
    <w:rsid w:val="003D1CB9"/>
    <w:rsid w:val="003D2574"/>
    <w:rsid w:val="003D2621"/>
    <w:rsid w:val="003D4C59"/>
    <w:rsid w:val="003D60C8"/>
    <w:rsid w:val="003E2562"/>
    <w:rsid w:val="003E3B35"/>
    <w:rsid w:val="003E3B3B"/>
    <w:rsid w:val="003F1228"/>
    <w:rsid w:val="003F130B"/>
    <w:rsid w:val="003F3129"/>
    <w:rsid w:val="003F4267"/>
    <w:rsid w:val="003F55CA"/>
    <w:rsid w:val="003F6A40"/>
    <w:rsid w:val="003F7896"/>
    <w:rsid w:val="00400880"/>
    <w:rsid w:val="0040101C"/>
    <w:rsid w:val="00401F60"/>
    <w:rsid w:val="00404032"/>
    <w:rsid w:val="0040482A"/>
    <w:rsid w:val="0040736F"/>
    <w:rsid w:val="00410D1E"/>
    <w:rsid w:val="00412A21"/>
    <w:rsid w:val="00412C1F"/>
    <w:rsid w:val="00417EF9"/>
    <w:rsid w:val="0042085B"/>
    <w:rsid w:val="00421CB2"/>
    <w:rsid w:val="00421FCC"/>
    <w:rsid w:val="0042441D"/>
    <w:rsid w:val="00424525"/>
    <w:rsid w:val="004268B9"/>
    <w:rsid w:val="00426989"/>
    <w:rsid w:val="00431203"/>
    <w:rsid w:val="00432B4A"/>
    <w:rsid w:val="00432DA6"/>
    <w:rsid w:val="00433B96"/>
    <w:rsid w:val="004376EF"/>
    <w:rsid w:val="00437BCB"/>
    <w:rsid w:val="004408A4"/>
    <w:rsid w:val="00441832"/>
    <w:rsid w:val="004422E1"/>
    <w:rsid w:val="00442744"/>
    <w:rsid w:val="0044339D"/>
    <w:rsid w:val="004436B2"/>
    <w:rsid w:val="004440F1"/>
    <w:rsid w:val="004456DD"/>
    <w:rsid w:val="00446CDF"/>
    <w:rsid w:val="004521B7"/>
    <w:rsid w:val="00454087"/>
    <w:rsid w:val="00455FF3"/>
    <w:rsid w:val="0045665E"/>
    <w:rsid w:val="004605B7"/>
    <w:rsid w:val="00462AB5"/>
    <w:rsid w:val="00462E94"/>
    <w:rsid w:val="004642FB"/>
    <w:rsid w:val="004650F1"/>
    <w:rsid w:val="00465B83"/>
    <w:rsid w:val="00465B89"/>
    <w:rsid w:val="00465EAF"/>
    <w:rsid w:val="004738C5"/>
    <w:rsid w:val="004750B4"/>
    <w:rsid w:val="00477A49"/>
    <w:rsid w:val="004812DB"/>
    <w:rsid w:val="00482600"/>
    <w:rsid w:val="00484245"/>
    <w:rsid w:val="0048556B"/>
    <w:rsid w:val="00486F7E"/>
    <w:rsid w:val="004877AF"/>
    <w:rsid w:val="00490DB3"/>
    <w:rsid w:val="00491046"/>
    <w:rsid w:val="004918DF"/>
    <w:rsid w:val="00493CF9"/>
    <w:rsid w:val="004946B7"/>
    <w:rsid w:val="004963E0"/>
    <w:rsid w:val="0049706C"/>
    <w:rsid w:val="004A290B"/>
    <w:rsid w:val="004A2AC7"/>
    <w:rsid w:val="004A51DE"/>
    <w:rsid w:val="004A6081"/>
    <w:rsid w:val="004A6D2F"/>
    <w:rsid w:val="004B51A7"/>
    <w:rsid w:val="004B5493"/>
    <w:rsid w:val="004B6FC0"/>
    <w:rsid w:val="004B7D83"/>
    <w:rsid w:val="004C25C4"/>
    <w:rsid w:val="004C2887"/>
    <w:rsid w:val="004C466C"/>
    <w:rsid w:val="004C78C0"/>
    <w:rsid w:val="004D1F0B"/>
    <w:rsid w:val="004D2554"/>
    <w:rsid w:val="004D2626"/>
    <w:rsid w:val="004D31C0"/>
    <w:rsid w:val="004D619E"/>
    <w:rsid w:val="004D6E26"/>
    <w:rsid w:val="004D77D3"/>
    <w:rsid w:val="004E0107"/>
    <w:rsid w:val="004E131A"/>
    <w:rsid w:val="004E2959"/>
    <w:rsid w:val="004E3F8B"/>
    <w:rsid w:val="004E4802"/>
    <w:rsid w:val="004E4B2F"/>
    <w:rsid w:val="004E625D"/>
    <w:rsid w:val="004E7FC6"/>
    <w:rsid w:val="004F04F4"/>
    <w:rsid w:val="004F09A1"/>
    <w:rsid w:val="004F20EF"/>
    <w:rsid w:val="004F57B0"/>
    <w:rsid w:val="004F6D9D"/>
    <w:rsid w:val="004F7719"/>
    <w:rsid w:val="00501FC9"/>
    <w:rsid w:val="0050321C"/>
    <w:rsid w:val="00503E7B"/>
    <w:rsid w:val="0050583B"/>
    <w:rsid w:val="00506034"/>
    <w:rsid w:val="0050766A"/>
    <w:rsid w:val="005130F1"/>
    <w:rsid w:val="005142D2"/>
    <w:rsid w:val="005168B7"/>
    <w:rsid w:val="00516B1B"/>
    <w:rsid w:val="00522FEF"/>
    <w:rsid w:val="00525A3D"/>
    <w:rsid w:val="0052783F"/>
    <w:rsid w:val="00531B3C"/>
    <w:rsid w:val="005359A7"/>
    <w:rsid w:val="00536C15"/>
    <w:rsid w:val="00537D6D"/>
    <w:rsid w:val="00537E32"/>
    <w:rsid w:val="00542D7D"/>
    <w:rsid w:val="005464DC"/>
    <w:rsid w:val="0054712D"/>
    <w:rsid w:val="00547EF6"/>
    <w:rsid w:val="0055154F"/>
    <w:rsid w:val="005529F2"/>
    <w:rsid w:val="005547A8"/>
    <w:rsid w:val="0055690B"/>
    <w:rsid w:val="005570B5"/>
    <w:rsid w:val="00561F0A"/>
    <w:rsid w:val="0056315D"/>
    <w:rsid w:val="0056568A"/>
    <w:rsid w:val="00565F94"/>
    <w:rsid w:val="00567E18"/>
    <w:rsid w:val="00571C5B"/>
    <w:rsid w:val="00575A7D"/>
    <w:rsid w:val="00575F5F"/>
    <w:rsid w:val="00581114"/>
    <w:rsid w:val="00581805"/>
    <w:rsid w:val="00581E0E"/>
    <w:rsid w:val="005835A6"/>
    <w:rsid w:val="00585F76"/>
    <w:rsid w:val="0059207E"/>
    <w:rsid w:val="00595004"/>
    <w:rsid w:val="005968F7"/>
    <w:rsid w:val="005A1C5F"/>
    <w:rsid w:val="005A2EFC"/>
    <w:rsid w:val="005A34E4"/>
    <w:rsid w:val="005A3FE3"/>
    <w:rsid w:val="005B1245"/>
    <w:rsid w:val="005B17F2"/>
    <w:rsid w:val="005B4422"/>
    <w:rsid w:val="005B583D"/>
    <w:rsid w:val="005B5EB0"/>
    <w:rsid w:val="005B7FB0"/>
    <w:rsid w:val="005C03E1"/>
    <w:rsid w:val="005C35A5"/>
    <w:rsid w:val="005C4573"/>
    <w:rsid w:val="005C5122"/>
    <w:rsid w:val="005C577C"/>
    <w:rsid w:val="005C7B0E"/>
    <w:rsid w:val="005D0621"/>
    <w:rsid w:val="005D12CC"/>
    <w:rsid w:val="005D140D"/>
    <w:rsid w:val="005D1E27"/>
    <w:rsid w:val="005D1F29"/>
    <w:rsid w:val="005D2A3E"/>
    <w:rsid w:val="005D3C8F"/>
    <w:rsid w:val="005D429B"/>
    <w:rsid w:val="005D5403"/>
    <w:rsid w:val="005D78BA"/>
    <w:rsid w:val="005E022E"/>
    <w:rsid w:val="005E18E6"/>
    <w:rsid w:val="005E4420"/>
    <w:rsid w:val="005E5215"/>
    <w:rsid w:val="005F05B8"/>
    <w:rsid w:val="005F1B6F"/>
    <w:rsid w:val="005F1CAA"/>
    <w:rsid w:val="005F311C"/>
    <w:rsid w:val="005F4D28"/>
    <w:rsid w:val="005F6406"/>
    <w:rsid w:val="005F7F7E"/>
    <w:rsid w:val="00604412"/>
    <w:rsid w:val="00604A7D"/>
    <w:rsid w:val="00606411"/>
    <w:rsid w:val="0060683C"/>
    <w:rsid w:val="006117AF"/>
    <w:rsid w:val="00611BBC"/>
    <w:rsid w:val="00614693"/>
    <w:rsid w:val="006158D2"/>
    <w:rsid w:val="00623C2F"/>
    <w:rsid w:val="0062471A"/>
    <w:rsid w:val="00625077"/>
    <w:rsid w:val="00625BC6"/>
    <w:rsid w:val="006266DF"/>
    <w:rsid w:val="00632D6E"/>
    <w:rsid w:val="00633578"/>
    <w:rsid w:val="00633F7D"/>
    <w:rsid w:val="006346CE"/>
    <w:rsid w:val="0063504B"/>
    <w:rsid w:val="00636909"/>
    <w:rsid w:val="00637068"/>
    <w:rsid w:val="00644945"/>
    <w:rsid w:val="00646A5B"/>
    <w:rsid w:val="00647117"/>
    <w:rsid w:val="00650811"/>
    <w:rsid w:val="00655300"/>
    <w:rsid w:val="00655657"/>
    <w:rsid w:val="00656026"/>
    <w:rsid w:val="00661C67"/>
    <w:rsid w:val="00661D3E"/>
    <w:rsid w:val="0066463A"/>
    <w:rsid w:val="00664CBD"/>
    <w:rsid w:val="00666B71"/>
    <w:rsid w:val="00667812"/>
    <w:rsid w:val="0067008A"/>
    <w:rsid w:val="00673DD0"/>
    <w:rsid w:val="00677033"/>
    <w:rsid w:val="00680124"/>
    <w:rsid w:val="00682451"/>
    <w:rsid w:val="00682655"/>
    <w:rsid w:val="00682D4C"/>
    <w:rsid w:val="006841E1"/>
    <w:rsid w:val="00684D97"/>
    <w:rsid w:val="00685BBF"/>
    <w:rsid w:val="006902F9"/>
    <w:rsid w:val="00690374"/>
    <w:rsid w:val="00692627"/>
    <w:rsid w:val="00696194"/>
    <w:rsid w:val="006969E7"/>
    <w:rsid w:val="006A0DDA"/>
    <w:rsid w:val="006A12AC"/>
    <w:rsid w:val="006A2FEF"/>
    <w:rsid w:val="006A2FFD"/>
    <w:rsid w:val="006A35E0"/>
    <w:rsid w:val="006A3643"/>
    <w:rsid w:val="006A6643"/>
    <w:rsid w:val="006A6E48"/>
    <w:rsid w:val="006B16C5"/>
    <w:rsid w:val="006B2FA2"/>
    <w:rsid w:val="006B34E1"/>
    <w:rsid w:val="006B70E5"/>
    <w:rsid w:val="006B72DA"/>
    <w:rsid w:val="006B75F6"/>
    <w:rsid w:val="006B79C4"/>
    <w:rsid w:val="006C080D"/>
    <w:rsid w:val="006C08AC"/>
    <w:rsid w:val="006C2504"/>
    <w:rsid w:val="006C2A29"/>
    <w:rsid w:val="006C3784"/>
    <w:rsid w:val="006C5F76"/>
    <w:rsid w:val="006C64CF"/>
    <w:rsid w:val="006C6CE0"/>
    <w:rsid w:val="006D0CB8"/>
    <w:rsid w:val="006D17B1"/>
    <w:rsid w:val="006D3B58"/>
    <w:rsid w:val="006D4752"/>
    <w:rsid w:val="006D4CCF"/>
    <w:rsid w:val="006D708A"/>
    <w:rsid w:val="006E03E1"/>
    <w:rsid w:val="006E0F08"/>
    <w:rsid w:val="006E14C1"/>
    <w:rsid w:val="006E3666"/>
    <w:rsid w:val="006F00D2"/>
    <w:rsid w:val="006F0292"/>
    <w:rsid w:val="006F0BE3"/>
    <w:rsid w:val="006F27FA"/>
    <w:rsid w:val="006F2D44"/>
    <w:rsid w:val="006F3EAF"/>
    <w:rsid w:val="006F416B"/>
    <w:rsid w:val="006F519B"/>
    <w:rsid w:val="00704269"/>
    <w:rsid w:val="0071141C"/>
    <w:rsid w:val="0071165A"/>
    <w:rsid w:val="00712F39"/>
    <w:rsid w:val="0071329C"/>
    <w:rsid w:val="00713675"/>
    <w:rsid w:val="007155BF"/>
    <w:rsid w:val="00715823"/>
    <w:rsid w:val="00715AD5"/>
    <w:rsid w:val="00720766"/>
    <w:rsid w:val="00726318"/>
    <w:rsid w:val="007277BA"/>
    <w:rsid w:val="00731019"/>
    <w:rsid w:val="00732219"/>
    <w:rsid w:val="00733939"/>
    <w:rsid w:val="00733BAB"/>
    <w:rsid w:val="00737B93"/>
    <w:rsid w:val="00741419"/>
    <w:rsid w:val="007456D0"/>
    <w:rsid w:val="00745724"/>
    <w:rsid w:val="007459C8"/>
    <w:rsid w:val="00745BF0"/>
    <w:rsid w:val="00745CA3"/>
    <w:rsid w:val="00747498"/>
    <w:rsid w:val="00751728"/>
    <w:rsid w:val="00751C03"/>
    <w:rsid w:val="00751D95"/>
    <w:rsid w:val="007534B8"/>
    <w:rsid w:val="0075434E"/>
    <w:rsid w:val="00756305"/>
    <w:rsid w:val="00756658"/>
    <w:rsid w:val="00757B42"/>
    <w:rsid w:val="007615FE"/>
    <w:rsid w:val="0076655C"/>
    <w:rsid w:val="00771557"/>
    <w:rsid w:val="0077210F"/>
    <w:rsid w:val="00772D50"/>
    <w:rsid w:val="007740BA"/>
    <w:rsid w:val="007742DC"/>
    <w:rsid w:val="00774ECD"/>
    <w:rsid w:val="0077520B"/>
    <w:rsid w:val="00775968"/>
    <w:rsid w:val="0077620C"/>
    <w:rsid w:val="00776F77"/>
    <w:rsid w:val="007779F0"/>
    <w:rsid w:val="00782B9B"/>
    <w:rsid w:val="00783C24"/>
    <w:rsid w:val="00790DDB"/>
    <w:rsid w:val="00791437"/>
    <w:rsid w:val="00791906"/>
    <w:rsid w:val="00796816"/>
    <w:rsid w:val="007978E0"/>
    <w:rsid w:val="007A0C49"/>
    <w:rsid w:val="007A28E3"/>
    <w:rsid w:val="007B0C2C"/>
    <w:rsid w:val="007B278E"/>
    <w:rsid w:val="007B3325"/>
    <w:rsid w:val="007B7A99"/>
    <w:rsid w:val="007C0119"/>
    <w:rsid w:val="007C106A"/>
    <w:rsid w:val="007C5C23"/>
    <w:rsid w:val="007C5FD3"/>
    <w:rsid w:val="007D18D7"/>
    <w:rsid w:val="007D2D97"/>
    <w:rsid w:val="007D3CF8"/>
    <w:rsid w:val="007E09F3"/>
    <w:rsid w:val="007E0A4A"/>
    <w:rsid w:val="007E0BA2"/>
    <w:rsid w:val="007E1405"/>
    <w:rsid w:val="007E15C9"/>
    <w:rsid w:val="007E2A26"/>
    <w:rsid w:val="007E3A58"/>
    <w:rsid w:val="007E5853"/>
    <w:rsid w:val="007E5F8E"/>
    <w:rsid w:val="007E6B74"/>
    <w:rsid w:val="007E72F2"/>
    <w:rsid w:val="007E7DD2"/>
    <w:rsid w:val="007F0BAE"/>
    <w:rsid w:val="007F2348"/>
    <w:rsid w:val="007F3F63"/>
    <w:rsid w:val="007F7136"/>
    <w:rsid w:val="00800BA5"/>
    <w:rsid w:val="0080185D"/>
    <w:rsid w:val="00802560"/>
    <w:rsid w:val="008039E2"/>
    <w:rsid w:val="00803F07"/>
    <w:rsid w:val="008040BC"/>
    <w:rsid w:val="00804BB4"/>
    <w:rsid w:val="00805313"/>
    <w:rsid w:val="0080749A"/>
    <w:rsid w:val="00807E57"/>
    <w:rsid w:val="00810583"/>
    <w:rsid w:val="00810D74"/>
    <w:rsid w:val="00814DB8"/>
    <w:rsid w:val="00816989"/>
    <w:rsid w:val="00816CF7"/>
    <w:rsid w:val="008206AD"/>
    <w:rsid w:val="00821FB8"/>
    <w:rsid w:val="0082247F"/>
    <w:rsid w:val="00822ACD"/>
    <w:rsid w:val="0082303F"/>
    <w:rsid w:val="00823AB0"/>
    <w:rsid w:val="008251C9"/>
    <w:rsid w:val="00825B4B"/>
    <w:rsid w:val="00825DD4"/>
    <w:rsid w:val="008268F0"/>
    <w:rsid w:val="00826C1C"/>
    <w:rsid w:val="00833D95"/>
    <w:rsid w:val="00841BD4"/>
    <w:rsid w:val="00844C06"/>
    <w:rsid w:val="00844F48"/>
    <w:rsid w:val="0085023F"/>
    <w:rsid w:val="00850A2E"/>
    <w:rsid w:val="0085135C"/>
    <w:rsid w:val="00852141"/>
    <w:rsid w:val="00854D25"/>
    <w:rsid w:val="00855C66"/>
    <w:rsid w:val="00856FB9"/>
    <w:rsid w:val="008576EE"/>
    <w:rsid w:val="008602A6"/>
    <w:rsid w:val="00871EE4"/>
    <w:rsid w:val="00874D84"/>
    <w:rsid w:val="008752D4"/>
    <w:rsid w:val="008777E7"/>
    <w:rsid w:val="0087787E"/>
    <w:rsid w:val="00881D01"/>
    <w:rsid w:val="008844AF"/>
    <w:rsid w:val="00884E99"/>
    <w:rsid w:val="00887F02"/>
    <w:rsid w:val="008923F2"/>
    <w:rsid w:val="0089422A"/>
    <w:rsid w:val="008950D0"/>
    <w:rsid w:val="008A10CA"/>
    <w:rsid w:val="008A2395"/>
    <w:rsid w:val="008A287A"/>
    <w:rsid w:val="008A3875"/>
    <w:rsid w:val="008A4ED6"/>
    <w:rsid w:val="008B22F6"/>
    <w:rsid w:val="008B293F"/>
    <w:rsid w:val="008B7371"/>
    <w:rsid w:val="008B79A2"/>
    <w:rsid w:val="008C4416"/>
    <w:rsid w:val="008C59B2"/>
    <w:rsid w:val="008C609E"/>
    <w:rsid w:val="008D17D3"/>
    <w:rsid w:val="008D25AB"/>
    <w:rsid w:val="008D29EF"/>
    <w:rsid w:val="008D2A65"/>
    <w:rsid w:val="008D39FD"/>
    <w:rsid w:val="008D3DDB"/>
    <w:rsid w:val="008D3E4F"/>
    <w:rsid w:val="008D437F"/>
    <w:rsid w:val="008D64E2"/>
    <w:rsid w:val="008E19E1"/>
    <w:rsid w:val="008E43EB"/>
    <w:rsid w:val="008E5206"/>
    <w:rsid w:val="008E77C8"/>
    <w:rsid w:val="008E7A2C"/>
    <w:rsid w:val="008F0BD7"/>
    <w:rsid w:val="008F573F"/>
    <w:rsid w:val="008F7494"/>
    <w:rsid w:val="008F79EC"/>
    <w:rsid w:val="00901645"/>
    <w:rsid w:val="00902A07"/>
    <w:rsid w:val="009034EC"/>
    <w:rsid w:val="00905CB8"/>
    <w:rsid w:val="009071F6"/>
    <w:rsid w:val="009075DD"/>
    <w:rsid w:val="00907601"/>
    <w:rsid w:val="00910F75"/>
    <w:rsid w:val="00911CF9"/>
    <w:rsid w:val="00913F26"/>
    <w:rsid w:val="00916C1E"/>
    <w:rsid w:val="00920E55"/>
    <w:rsid w:val="00921E4F"/>
    <w:rsid w:val="00922910"/>
    <w:rsid w:val="00922F97"/>
    <w:rsid w:val="00923542"/>
    <w:rsid w:val="00923A7A"/>
    <w:rsid w:val="009270B8"/>
    <w:rsid w:val="0093067A"/>
    <w:rsid w:val="00931979"/>
    <w:rsid w:val="0093546B"/>
    <w:rsid w:val="009357D7"/>
    <w:rsid w:val="00935938"/>
    <w:rsid w:val="00940A87"/>
    <w:rsid w:val="00941B70"/>
    <w:rsid w:val="00941C60"/>
    <w:rsid w:val="00941CFC"/>
    <w:rsid w:val="00941FD1"/>
    <w:rsid w:val="00942044"/>
    <w:rsid w:val="0094300F"/>
    <w:rsid w:val="00944753"/>
    <w:rsid w:val="00944C6E"/>
    <w:rsid w:val="00945A22"/>
    <w:rsid w:val="00946068"/>
    <w:rsid w:val="00946C74"/>
    <w:rsid w:val="00947914"/>
    <w:rsid w:val="00947C46"/>
    <w:rsid w:val="00947F72"/>
    <w:rsid w:val="00954BAD"/>
    <w:rsid w:val="0095632E"/>
    <w:rsid w:val="009572FE"/>
    <w:rsid w:val="00957BDD"/>
    <w:rsid w:val="0096345E"/>
    <w:rsid w:val="0096357A"/>
    <w:rsid w:val="00966D42"/>
    <w:rsid w:val="00971689"/>
    <w:rsid w:val="00972DC2"/>
    <w:rsid w:val="00972F98"/>
    <w:rsid w:val="00973E90"/>
    <w:rsid w:val="00975B07"/>
    <w:rsid w:val="009800E0"/>
    <w:rsid w:val="00980B4A"/>
    <w:rsid w:val="00984E85"/>
    <w:rsid w:val="0098506F"/>
    <w:rsid w:val="009874C1"/>
    <w:rsid w:val="00987806"/>
    <w:rsid w:val="00987C2A"/>
    <w:rsid w:val="009901F0"/>
    <w:rsid w:val="009918AC"/>
    <w:rsid w:val="00992BED"/>
    <w:rsid w:val="0099304C"/>
    <w:rsid w:val="0099691B"/>
    <w:rsid w:val="00996B3E"/>
    <w:rsid w:val="00996DDE"/>
    <w:rsid w:val="009A3DD1"/>
    <w:rsid w:val="009B0297"/>
    <w:rsid w:val="009B0722"/>
    <w:rsid w:val="009B0BEB"/>
    <w:rsid w:val="009B3E93"/>
    <w:rsid w:val="009B6959"/>
    <w:rsid w:val="009C005A"/>
    <w:rsid w:val="009C0E10"/>
    <w:rsid w:val="009C23BC"/>
    <w:rsid w:val="009C285D"/>
    <w:rsid w:val="009C3993"/>
    <w:rsid w:val="009C41EA"/>
    <w:rsid w:val="009C78C7"/>
    <w:rsid w:val="009C7C4A"/>
    <w:rsid w:val="009D41F3"/>
    <w:rsid w:val="009D7E79"/>
    <w:rsid w:val="009E1A5A"/>
    <w:rsid w:val="009E2A50"/>
    <w:rsid w:val="009E382D"/>
    <w:rsid w:val="009E3D0A"/>
    <w:rsid w:val="009E4901"/>
    <w:rsid w:val="009E4E82"/>
    <w:rsid w:val="009E51FC"/>
    <w:rsid w:val="009E5FBC"/>
    <w:rsid w:val="009E6940"/>
    <w:rsid w:val="009E6E10"/>
    <w:rsid w:val="009E7533"/>
    <w:rsid w:val="009E79D2"/>
    <w:rsid w:val="009F13F3"/>
    <w:rsid w:val="009F1D28"/>
    <w:rsid w:val="009F2255"/>
    <w:rsid w:val="009F377A"/>
    <w:rsid w:val="009F4037"/>
    <w:rsid w:val="009F4597"/>
    <w:rsid w:val="009F7618"/>
    <w:rsid w:val="00A00A53"/>
    <w:rsid w:val="00A04D23"/>
    <w:rsid w:val="00A06766"/>
    <w:rsid w:val="00A12455"/>
    <w:rsid w:val="00A13765"/>
    <w:rsid w:val="00A14DDE"/>
    <w:rsid w:val="00A178F6"/>
    <w:rsid w:val="00A17A7E"/>
    <w:rsid w:val="00A209B2"/>
    <w:rsid w:val="00A21B12"/>
    <w:rsid w:val="00A2252C"/>
    <w:rsid w:val="00A23F80"/>
    <w:rsid w:val="00A25F26"/>
    <w:rsid w:val="00A2675F"/>
    <w:rsid w:val="00A27D22"/>
    <w:rsid w:val="00A32012"/>
    <w:rsid w:val="00A3555E"/>
    <w:rsid w:val="00A36AC0"/>
    <w:rsid w:val="00A36F88"/>
    <w:rsid w:val="00A45A1E"/>
    <w:rsid w:val="00A46E98"/>
    <w:rsid w:val="00A47944"/>
    <w:rsid w:val="00A512F6"/>
    <w:rsid w:val="00A52EA4"/>
    <w:rsid w:val="00A53EF2"/>
    <w:rsid w:val="00A56A63"/>
    <w:rsid w:val="00A57346"/>
    <w:rsid w:val="00A57446"/>
    <w:rsid w:val="00A57D1E"/>
    <w:rsid w:val="00A61A0D"/>
    <w:rsid w:val="00A620AE"/>
    <w:rsid w:val="00A6352B"/>
    <w:rsid w:val="00A63B9A"/>
    <w:rsid w:val="00A65EF4"/>
    <w:rsid w:val="00A67B3B"/>
    <w:rsid w:val="00A701B5"/>
    <w:rsid w:val="00A714BB"/>
    <w:rsid w:val="00A756DC"/>
    <w:rsid w:val="00A77147"/>
    <w:rsid w:val="00A771BF"/>
    <w:rsid w:val="00A81C93"/>
    <w:rsid w:val="00A81DF9"/>
    <w:rsid w:val="00A821E0"/>
    <w:rsid w:val="00A82F4F"/>
    <w:rsid w:val="00A840A5"/>
    <w:rsid w:val="00A8442B"/>
    <w:rsid w:val="00A84E93"/>
    <w:rsid w:val="00A852AE"/>
    <w:rsid w:val="00A85574"/>
    <w:rsid w:val="00A907EC"/>
    <w:rsid w:val="00A91588"/>
    <w:rsid w:val="00A92338"/>
    <w:rsid w:val="00A92A6F"/>
    <w:rsid w:val="00A92D8F"/>
    <w:rsid w:val="00A95290"/>
    <w:rsid w:val="00A961CF"/>
    <w:rsid w:val="00AA57FE"/>
    <w:rsid w:val="00AA72B9"/>
    <w:rsid w:val="00AB10BE"/>
    <w:rsid w:val="00AB14F3"/>
    <w:rsid w:val="00AB2988"/>
    <w:rsid w:val="00AB4279"/>
    <w:rsid w:val="00AB5CF4"/>
    <w:rsid w:val="00AB7999"/>
    <w:rsid w:val="00AC4683"/>
    <w:rsid w:val="00AC5406"/>
    <w:rsid w:val="00AC7DA9"/>
    <w:rsid w:val="00AD3292"/>
    <w:rsid w:val="00AD6941"/>
    <w:rsid w:val="00AD6995"/>
    <w:rsid w:val="00AD6F6D"/>
    <w:rsid w:val="00AD7464"/>
    <w:rsid w:val="00AE0E2E"/>
    <w:rsid w:val="00AE1054"/>
    <w:rsid w:val="00AE3101"/>
    <w:rsid w:val="00AE5689"/>
    <w:rsid w:val="00AE63EF"/>
    <w:rsid w:val="00AE7AF0"/>
    <w:rsid w:val="00AF309A"/>
    <w:rsid w:val="00AF3C6E"/>
    <w:rsid w:val="00AF44B2"/>
    <w:rsid w:val="00B00B98"/>
    <w:rsid w:val="00B00F23"/>
    <w:rsid w:val="00B02A63"/>
    <w:rsid w:val="00B03482"/>
    <w:rsid w:val="00B040D6"/>
    <w:rsid w:val="00B078D6"/>
    <w:rsid w:val="00B10014"/>
    <w:rsid w:val="00B130B4"/>
    <w:rsid w:val="00B14C32"/>
    <w:rsid w:val="00B170A6"/>
    <w:rsid w:val="00B218BC"/>
    <w:rsid w:val="00B22B79"/>
    <w:rsid w:val="00B254AE"/>
    <w:rsid w:val="00B27588"/>
    <w:rsid w:val="00B303F0"/>
    <w:rsid w:val="00B30482"/>
    <w:rsid w:val="00B3188D"/>
    <w:rsid w:val="00B34C10"/>
    <w:rsid w:val="00B34D07"/>
    <w:rsid w:val="00B35015"/>
    <w:rsid w:val="00B3501E"/>
    <w:rsid w:val="00B37F83"/>
    <w:rsid w:val="00B4112F"/>
    <w:rsid w:val="00B41A73"/>
    <w:rsid w:val="00B44CAB"/>
    <w:rsid w:val="00B47176"/>
    <w:rsid w:val="00B500CA"/>
    <w:rsid w:val="00B5233D"/>
    <w:rsid w:val="00B528D2"/>
    <w:rsid w:val="00B54740"/>
    <w:rsid w:val="00B5531B"/>
    <w:rsid w:val="00B60579"/>
    <w:rsid w:val="00B605D7"/>
    <w:rsid w:val="00B60ADE"/>
    <w:rsid w:val="00B61F29"/>
    <w:rsid w:val="00B81EAE"/>
    <w:rsid w:val="00B83527"/>
    <w:rsid w:val="00B84162"/>
    <w:rsid w:val="00B86314"/>
    <w:rsid w:val="00B95304"/>
    <w:rsid w:val="00BA1C2E"/>
    <w:rsid w:val="00BA3F46"/>
    <w:rsid w:val="00BA4BB8"/>
    <w:rsid w:val="00BA611B"/>
    <w:rsid w:val="00BB0A42"/>
    <w:rsid w:val="00BB0D2B"/>
    <w:rsid w:val="00BB0EA5"/>
    <w:rsid w:val="00BB7245"/>
    <w:rsid w:val="00BC034B"/>
    <w:rsid w:val="00BC05B5"/>
    <w:rsid w:val="00BC1652"/>
    <w:rsid w:val="00BC1E6B"/>
    <w:rsid w:val="00BC200B"/>
    <w:rsid w:val="00BC4174"/>
    <w:rsid w:val="00BC4756"/>
    <w:rsid w:val="00BC4BFD"/>
    <w:rsid w:val="00BC69A4"/>
    <w:rsid w:val="00BD1BA4"/>
    <w:rsid w:val="00BD2D28"/>
    <w:rsid w:val="00BD4E15"/>
    <w:rsid w:val="00BD592A"/>
    <w:rsid w:val="00BE0680"/>
    <w:rsid w:val="00BE1959"/>
    <w:rsid w:val="00BE2AB3"/>
    <w:rsid w:val="00BE305F"/>
    <w:rsid w:val="00BE7BA3"/>
    <w:rsid w:val="00BF5682"/>
    <w:rsid w:val="00BF7AE6"/>
    <w:rsid w:val="00BF7B09"/>
    <w:rsid w:val="00C00024"/>
    <w:rsid w:val="00C07DF2"/>
    <w:rsid w:val="00C10A37"/>
    <w:rsid w:val="00C11889"/>
    <w:rsid w:val="00C12D47"/>
    <w:rsid w:val="00C20A95"/>
    <w:rsid w:val="00C23910"/>
    <w:rsid w:val="00C2416E"/>
    <w:rsid w:val="00C26435"/>
    <w:rsid w:val="00C267F4"/>
    <w:rsid w:val="00C2692F"/>
    <w:rsid w:val="00C304CA"/>
    <w:rsid w:val="00C3207C"/>
    <w:rsid w:val="00C327B4"/>
    <w:rsid w:val="00C32A15"/>
    <w:rsid w:val="00C341A7"/>
    <w:rsid w:val="00C345A7"/>
    <w:rsid w:val="00C356D7"/>
    <w:rsid w:val="00C368CF"/>
    <w:rsid w:val="00C400E1"/>
    <w:rsid w:val="00C41187"/>
    <w:rsid w:val="00C42A97"/>
    <w:rsid w:val="00C434AC"/>
    <w:rsid w:val="00C43A19"/>
    <w:rsid w:val="00C448AF"/>
    <w:rsid w:val="00C463A9"/>
    <w:rsid w:val="00C47257"/>
    <w:rsid w:val="00C478F7"/>
    <w:rsid w:val="00C5494A"/>
    <w:rsid w:val="00C565B8"/>
    <w:rsid w:val="00C6243A"/>
    <w:rsid w:val="00C63C31"/>
    <w:rsid w:val="00C6789F"/>
    <w:rsid w:val="00C67B01"/>
    <w:rsid w:val="00C70A99"/>
    <w:rsid w:val="00C733D7"/>
    <w:rsid w:val="00C749CD"/>
    <w:rsid w:val="00C74A27"/>
    <w:rsid w:val="00C757A0"/>
    <w:rsid w:val="00C760DE"/>
    <w:rsid w:val="00C76A0C"/>
    <w:rsid w:val="00C76CF6"/>
    <w:rsid w:val="00C773A3"/>
    <w:rsid w:val="00C77F34"/>
    <w:rsid w:val="00C80444"/>
    <w:rsid w:val="00C8065A"/>
    <w:rsid w:val="00C80882"/>
    <w:rsid w:val="00C81C0E"/>
    <w:rsid w:val="00C82630"/>
    <w:rsid w:val="00C85B4E"/>
    <w:rsid w:val="00C907F7"/>
    <w:rsid w:val="00C90989"/>
    <w:rsid w:val="00C94F25"/>
    <w:rsid w:val="00C96593"/>
    <w:rsid w:val="00CA2103"/>
    <w:rsid w:val="00CA2E50"/>
    <w:rsid w:val="00CA5946"/>
    <w:rsid w:val="00CA5C05"/>
    <w:rsid w:val="00CB0BB6"/>
    <w:rsid w:val="00CB2644"/>
    <w:rsid w:val="00CB6994"/>
    <w:rsid w:val="00CB6B04"/>
    <w:rsid w:val="00CB6B99"/>
    <w:rsid w:val="00CB709D"/>
    <w:rsid w:val="00CC112F"/>
    <w:rsid w:val="00CC17FC"/>
    <w:rsid w:val="00CC58D4"/>
    <w:rsid w:val="00CC6F6B"/>
    <w:rsid w:val="00CE0B28"/>
    <w:rsid w:val="00CE18D6"/>
    <w:rsid w:val="00CE4C87"/>
    <w:rsid w:val="00CE544A"/>
    <w:rsid w:val="00CE5B30"/>
    <w:rsid w:val="00CE7A59"/>
    <w:rsid w:val="00CF17E9"/>
    <w:rsid w:val="00CF18F4"/>
    <w:rsid w:val="00CF3BCD"/>
    <w:rsid w:val="00CF500A"/>
    <w:rsid w:val="00CF5130"/>
    <w:rsid w:val="00CF7445"/>
    <w:rsid w:val="00CF7CDF"/>
    <w:rsid w:val="00D047B7"/>
    <w:rsid w:val="00D0657E"/>
    <w:rsid w:val="00D10816"/>
    <w:rsid w:val="00D10B6F"/>
    <w:rsid w:val="00D11E1C"/>
    <w:rsid w:val="00D1257B"/>
    <w:rsid w:val="00D160B0"/>
    <w:rsid w:val="00D166F3"/>
    <w:rsid w:val="00D173CF"/>
    <w:rsid w:val="00D1769C"/>
    <w:rsid w:val="00D17F94"/>
    <w:rsid w:val="00D218C7"/>
    <w:rsid w:val="00D21E50"/>
    <w:rsid w:val="00D223FC"/>
    <w:rsid w:val="00D228BA"/>
    <w:rsid w:val="00D255BB"/>
    <w:rsid w:val="00D26D1E"/>
    <w:rsid w:val="00D318F7"/>
    <w:rsid w:val="00D324C7"/>
    <w:rsid w:val="00D326F6"/>
    <w:rsid w:val="00D34DC1"/>
    <w:rsid w:val="00D35210"/>
    <w:rsid w:val="00D35308"/>
    <w:rsid w:val="00D40751"/>
    <w:rsid w:val="00D4396A"/>
    <w:rsid w:val="00D474CF"/>
    <w:rsid w:val="00D52098"/>
    <w:rsid w:val="00D550BC"/>
    <w:rsid w:val="00D5547E"/>
    <w:rsid w:val="00D573F0"/>
    <w:rsid w:val="00D57DD9"/>
    <w:rsid w:val="00D60CD5"/>
    <w:rsid w:val="00D63439"/>
    <w:rsid w:val="00D71AA1"/>
    <w:rsid w:val="00D71B1D"/>
    <w:rsid w:val="00D71BE6"/>
    <w:rsid w:val="00D72551"/>
    <w:rsid w:val="00D72E50"/>
    <w:rsid w:val="00D72E84"/>
    <w:rsid w:val="00D7327D"/>
    <w:rsid w:val="00D7638E"/>
    <w:rsid w:val="00D822DD"/>
    <w:rsid w:val="00D830A0"/>
    <w:rsid w:val="00D860E2"/>
    <w:rsid w:val="00D869A1"/>
    <w:rsid w:val="00D87271"/>
    <w:rsid w:val="00D9224F"/>
    <w:rsid w:val="00D9391F"/>
    <w:rsid w:val="00D93B0D"/>
    <w:rsid w:val="00D94456"/>
    <w:rsid w:val="00D94E7D"/>
    <w:rsid w:val="00DA05EF"/>
    <w:rsid w:val="00DA0655"/>
    <w:rsid w:val="00DA2EDD"/>
    <w:rsid w:val="00DA413F"/>
    <w:rsid w:val="00DA4584"/>
    <w:rsid w:val="00DA4B0B"/>
    <w:rsid w:val="00DA5F78"/>
    <w:rsid w:val="00DA614B"/>
    <w:rsid w:val="00DA6221"/>
    <w:rsid w:val="00DB1D95"/>
    <w:rsid w:val="00DB7AD7"/>
    <w:rsid w:val="00DB7C6C"/>
    <w:rsid w:val="00DC0C58"/>
    <w:rsid w:val="00DC2FD6"/>
    <w:rsid w:val="00DC3060"/>
    <w:rsid w:val="00DC4261"/>
    <w:rsid w:val="00DC6381"/>
    <w:rsid w:val="00DD031C"/>
    <w:rsid w:val="00DD18BD"/>
    <w:rsid w:val="00DD2058"/>
    <w:rsid w:val="00DD701E"/>
    <w:rsid w:val="00DE0FB2"/>
    <w:rsid w:val="00DE13B8"/>
    <w:rsid w:val="00DE3094"/>
    <w:rsid w:val="00DE7C8B"/>
    <w:rsid w:val="00DF093E"/>
    <w:rsid w:val="00DF175D"/>
    <w:rsid w:val="00DF4196"/>
    <w:rsid w:val="00E00C73"/>
    <w:rsid w:val="00E01F42"/>
    <w:rsid w:val="00E0212D"/>
    <w:rsid w:val="00E04928"/>
    <w:rsid w:val="00E04F41"/>
    <w:rsid w:val="00E107BE"/>
    <w:rsid w:val="00E10955"/>
    <w:rsid w:val="00E10CAD"/>
    <w:rsid w:val="00E16AA7"/>
    <w:rsid w:val="00E206D6"/>
    <w:rsid w:val="00E2252C"/>
    <w:rsid w:val="00E236A9"/>
    <w:rsid w:val="00E24C73"/>
    <w:rsid w:val="00E306F8"/>
    <w:rsid w:val="00E3366E"/>
    <w:rsid w:val="00E3388E"/>
    <w:rsid w:val="00E348AB"/>
    <w:rsid w:val="00E34DA1"/>
    <w:rsid w:val="00E365E5"/>
    <w:rsid w:val="00E36AAC"/>
    <w:rsid w:val="00E4518A"/>
    <w:rsid w:val="00E46A65"/>
    <w:rsid w:val="00E47D48"/>
    <w:rsid w:val="00E52086"/>
    <w:rsid w:val="00E5232B"/>
    <w:rsid w:val="00E52606"/>
    <w:rsid w:val="00E54127"/>
    <w:rsid w:val="00E5415B"/>
    <w:rsid w:val="00E543A6"/>
    <w:rsid w:val="00E57B0A"/>
    <w:rsid w:val="00E60479"/>
    <w:rsid w:val="00E60543"/>
    <w:rsid w:val="00E61D73"/>
    <w:rsid w:val="00E65A7C"/>
    <w:rsid w:val="00E66BF3"/>
    <w:rsid w:val="00E6712E"/>
    <w:rsid w:val="00E6749A"/>
    <w:rsid w:val="00E707FD"/>
    <w:rsid w:val="00E70ECC"/>
    <w:rsid w:val="00E71274"/>
    <w:rsid w:val="00E72701"/>
    <w:rsid w:val="00E73684"/>
    <w:rsid w:val="00E7435C"/>
    <w:rsid w:val="00E75289"/>
    <w:rsid w:val="00E77696"/>
    <w:rsid w:val="00E818D6"/>
    <w:rsid w:val="00E84076"/>
    <w:rsid w:val="00E87F7A"/>
    <w:rsid w:val="00E92247"/>
    <w:rsid w:val="00E94B3E"/>
    <w:rsid w:val="00E94CBE"/>
    <w:rsid w:val="00E958D2"/>
    <w:rsid w:val="00E96BD7"/>
    <w:rsid w:val="00EA0DB1"/>
    <w:rsid w:val="00EA0EE9"/>
    <w:rsid w:val="00EA4F83"/>
    <w:rsid w:val="00EB07D7"/>
    <w:rsid w:val="00EB2CC9"/>
    <w:rsid w:val="00EB38E8"/>
    <w:rsid w:val="00EB49A3"/>
    <w:rsid w:val="00EC1897"/>
    <w:rsid w:val="00EC1C76"/>
    <w:rsid w:val="00EC1DAB"/>
    <w:rsid w:val="00EC2040"/>
    <w:rsid w:val="00EC28A5"/>
    <w:rsid w:val="00EC37E5"/>
    <w:rsid w:val="00EC3D29"/>
    <w:rsid w:val="00EC46D7"/>
    <w:rsid w:val="00EC6A2D"/>
    <w:rsid w:val="00EC7AA5"/>
    <w:rsid w:val="00ED1146"/>
    <w:rsid w:val="00ED37D2"/>
    <w:rsid w:val="00ED52CA"/>
    <w:rsid w:val="00ED55C4"/>
    <w:rsid w:val="00ED5860"/>
    <w:rsid w:val="00EE3061"/>
    <w:rsid w:val="00EE35C9"/>
    <w:rsid w:val="00EE3BA8"/>
    <w:rsid w:val="00EF2361"/>
    <w:rsid w:val="00EF27ED"/>
    <w:rsid w:val="00EF440A"/>
    <w:rsid w:val="00EF483E"/>
    <w:rsid w:val="00F03B82"/>
    <w:rsid w:val="00F05ECA"/>
    <w:rsid w:val="00F061EA"/>
    <w:rsid w:val="00F10C03"/>
    <w:rsid w:val="00F11178"/>
    <w:rsid w:val="00F12453"/>
    <w:rsid w:val="00F1622D"/>
    <w:rsid w:val="00F2069A"/>
    <w:rsid w:val="00F3220E"/>
    <w:rsid w:val="00F3543F"/>
    <w:rsid w:val="00F3566E"/>
    <w:rsid w:val="00F375FB"/>
    <w:rsid w:val="00F4081A"/>
    <w:rsid w:val="00F4116E"/>
    <w:rsid w:val="00F41AC1"/>
    <w:rsid w:val="00F4367A"/>
    <w:rsid w:val="00F445B1"/>
    <w:rsid w:val="00F45712"/>
    <w:rsid w:val="00F45CD4"/>
    <w:rsid w:val="00F47EF8"/>
    <w:rsid w:val="00F50345"/>
    <w:rsid w:val="00F57D50"/>
    <w:rsid w:val="00F57D52"/>
    <w:rsid w:val="00F60BEC"/>
    <w:rsid w:val="00F62107"/>
    <w:rsid w:val="00F65A22"/>
    <w:rsid w:val="00F66DCA"/>
    <w:rsid w:val="00F7067F"/>
    <w:rsid w:val="00F74DAA"/>
    <w:rsid w:val="00F74F53"/>
    <w:rsid w:val="00F7606D"/>
    <w:rsid w:val="00F81670"/>
    <w:rsid w:val="00F82024"/>
    <w:rsid w:val="00F91730"/>
    <w:rsid w:val="00F94A57"/>
    <w:rsid w:val="00F95BC9"/>
    <w:rsid w:val="00F97657"/>
    <w:rsid w:val="00FA09E7"/>
    <w:rsid w:val="00FA21CF"/>
    <w:rsid w:val="00FA227A"/>
    <w:rsid w:val="00FA39DA"/>
    <w:rsid w:val="00FA545B"/>
    <w:rsid w:val="00FA624C"/>
    <w:rsid w:val="00FB1800"/>
    <w:rsid w:val="00FB1F6E"/>
    <w:rsid w:val="00FB3EC5"/>
    <w:rsid w:val="00FB5CF3"/>
    <w:rsid w:val="00FB608E"/>
    <w:rsid w:val="00FB6B66"/>
    <w:rsid w:val="00FC07FE"/>
    <w:rsid w:val="00FD0FAC"/>
    <w:rsid w:val="00FD1B87"/>
    <w:rsid w:val="00FD1DFA"/>
    <w:rsid w:val="00FD3336"/>
    <w:rsid w:val="00FD428C"/>
    <w:rsid w:val="00FD48DA"/>
    <w:rsid w:val="00FD4966"/>
    <w:rsid w:val="00FD62C1"/>
    <w:rsid w:val="00FE0A09"/>
    <w:rsid w:val="00FE2321"/>
    <w:rsid w:val="00FE4345"/>
    <w:rsid w:val="00FE453A"/>
    <w:rsid w:val="00FE4B12"/>
    <w:rsid w:val="00FE57DC"/>
    <w:rsid w:val="00FF4725"/>
    <w:rsid w:val="00FF577F"/>
    <w:rsid w:val="00FF6DA7"/>
    <w:rsid w:val="0114C6B8"/>
    <w:rsid w:val="01BB5B80"/>
    <w:rsid w:val="04F602D6"/>
    <w:rsid w:val="0D746E77"/>
    <w:rsid w:val="119046B4"/>
    <w:rsid w:val="12F53E5C"/>
    <w:rsid w:val="173293B4"/>
    <w:rsid w:val="17D66420"/>
    <w:rsid w:val="17EB916C"/>
    <w:rsid w:val="1849F7F8"/>
    <w:rsid w:val="18D0B0C8"/>
    <w:rsid w:val="1AF33E0F"/>
    <w:rsid w:val="1D4B0699"/>
    <w:rsid w:val="1E32A95E"/>
    <w:rsid w:val="21F21BC7"/>
    <w:rsid w:val="2206645C"/>
    <w:rsid w:val="23E321EB"/>
    <w:rsid w:val="262B437C"/>
    <w:rsid w:val="27682287"/>
    <w:rsid w:val="2E5A04D3"/>
    <w:rsid w:val="2E61B162"/>
    <w:rsid w:val="2EAC02CC"/>
    <w:rsid w:val="2EB2BF46"/>
    <w:rsid w:val="2ED6DF2C"/>
    <w:rsid w:val="2F8CF960"/>
    <w:rsid w:val="2FDB6191"/>
    <w:rsid w:val="301463C6"/>
    <w:rsid w:val="32CFE37B"/>
    <w:rsid w:val="334622E5"/>
    <w:rsid w:val="350C3BE0"/>
    <w:rsid w:val="35424815"/>
    <w:rsid w:val="3B92175D"/>
    <w:rsid w:val="3F99B71B"/>
    <w:rsid w:val="3FF9D24E"/>
    <w:rsid w:val="4052D28C"/>
    <w:rsid w:val="43AD73F9"/>
    <w:rsid w:val="44E92C72"/>
    <w:rsid w:val="476E5128"/>
    <w:rsid w:val="4B159F46"/>
    <w:rsid w:val="4BC5C23F"/>
    <w:rsid w:val="4C688AD7"/>
    <w:rsid w:val="50C5CD39"/>
    <w:rsid w:val="50E70B7C"/>
    <w:rsid w:val="52759470"/>
    <w:rsid w:val="52B62ECE"/>
    <w:rsid w:val="5321254E"/>
    <w:rsid w:val="56940265"/>
    <w:rsid w:val="575B6E93"/>
    <w:rsid w:val="59C94817"/>
    <w:rsid w:val="5E782ABF"/>
    <w:rsid w:val="5ECA68D9"/>
    <w:rsid w:val="664C60EE"/>
    <w:rsid w:val="67C163C1"/>
    <w:rsid w:val="68153720"/>
    <w:rsid w:val="6972A4F1"/>
    <w:rsid w:val="69D0CED5"/>
    <w:rsid w:val="6A1F24C5"/>
    <w:rsid w:val="6E00B562"/>
    <w:rsid w:val="713552A5"/>
    <w:rsid w:val="717A6E87"/>
    <w:rsid w:val="726E49C3"/>
    <w:rsid w:val="72F1D109"/>
    <w:rsid w:val="747770CA"/>
    <w:rsid w:val="74FF4265"/>
    <w:rsid w:val="7C630DB7"/>
    <w:rsid w:val="7C9ED40F"/>
    <w:rsid w:val="7D82E132"/>
    <w:rsid w:val="7DB6B416"/>
    <w:rsid w:val="7F1773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21CB0"/>
  <w15:docId w15:val="{E7728920-969E-4FFD-85FA-17ECA670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eastAsia="Times New Roman" w:hAnsi="Arial" w:cs="Times New Roman"/>
      <w:color w:val="000000"/>
      <w:sz w:val="24"/>
      <w:szCs w:val="24"/>
    </w:rPr>
  </w:style>
  <w:style w:type="paragraph" w:styleId="Heading1">
    <w:name w:val="heading 1"/>
    <w:basedOn w:val="Normal"/>
    <w:next w:val="Normal"/>
    <w:link w:val="Heading1Char"/>
    <w:qFormat/>
    <w:pPr>
      <w:spacing w:before="240"/>
      <w:outlineLvl w:val="0"/>
    </w:pPr>
    <w:rPr>
      <w:b/>
    </w:rPr>
  </w:style>
  <w:style w:type="paragraph" w:styleId="Heading2">
    <w:name w:val="heading 2"/>
    <w:basedOn w:val="Normal"/>
    <w:next w:val="Normal"/>
    <w:qFormat/>
    <w:pPr>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unhideWhenUsed/>
    <w:qFormat/>
    <w:pPr>
      <w:spacing w:before="120"/>
      <w:jc w:val="center"/>
    </w:pPr>
    <w:rPr>
      <w:b/>
      <w:bCs/>
      <w:sz w:val="20"/>
      <w:szCs w:val="20"/>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Footer">
    <w:name w:val="footer"/>
    <w:aliases w:val="zzFooter"/>
    <w:basedOn w:val="Normal"/>
    <w:pPr>
      <w:tabs>
        <w:tab w:val="center" w:pos="4153"/>
        <w:tab w:val="right" w:pos="8306"/>
      </w:tabs>
    </w:pPr>
    <w:rPr>
      <w:sz w:val="18"/>
    </w:rPr>
  </w:style>
  <w:style w:type="paragraph" w:styleId="Header">
    <w:name w:val="header"/>
    <w:basedOn w:val="Normal"/>
    <w:link w:val="HeaderChar"/>
    <w:uiPriority w:val="99"/>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TOAHeading">
    <w:name w:val="toa heading"/>
    <w:basedOn w:val="Normal"/>
    <w:next w:val="Normal"/>
    <w:pPr>
      <w:spacing w:before="120"/>
    </w:pPr>
    <w:rPr>
      <w:rFonts w:ascii="Cambria" w:hAnsi="Cambria"/>
      <w:b/>
      <w:bCs/>
    </w:rPr>
  </w:style>
  <w:style w:type="character" w:styleId="CommentReference">
    <w:name w:val="annotation reference"/>
    <w:uiPriority w:val="99"/>
    <w:semiHidden/>
    <w:rPr>
      <w:sz w:val="16"/>
      <w:szCs w:val="16"/>
    </w:rPr>
  </w:style>
  <w:style w:type="character" w:styleId="Hyperlink">
    <w:name w:val="Hyperlink"/>
    <w:aliases w:val="set Hyperlink"/>
    <w:qFormat/>
    <w:rPr>
      <w:rFonts w:ascii="Arial" w:hAnsi="Arial"/>
      <w:color w:val="0000FF"/>
      <w:sz w:val="24"/>
      <w:u w:val="single"/>
    </w:rPr>
  </w:style>
  <w:style w:type="character" w:styleId="PageNumber">
    <w:name w:val="page number"/>
    <w:rPr>
      <w:rFonts w:ascii="Arial" w:hAnsi="Arial"/>
      <w:sz w:val="18"/>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qFormat/>
    <w:rPr>
      <w:rFonts w:cs="Arial"/>
      <w:color w:val="943634"/>
      <w:sz w:val="24"/>
      <w:szCs w:val="24"/>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Pr>
      <w:rFonts w:cs="Arial"/>
      <w:sz w:val="24"/>
      <w:szCs w:val="24"/>
      <w:lang w:eastAsia="en-US"/>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uiPriority w:val="1"/>
    <w:qFormat/>
    <w:pPr>
      <w:spacing w:after="120"/>
    </w:pPr>
    <w:rPr>
      <w:rFonts w:ascii="Arial" w:eastAsia="Times New Roman" w:hAnsi="Arial" w:cs="Times New Roman"/>
      <w:color w:val="000000"/>
      <w:sz w:val="24"/>
      <w:szCs w:val="24"/>
      <w:lang w:eastAsia="en-US"/>
    </w:rPr>
  </w:style>
  <w:style w:type="paragraph" w:styleId="ListParagraph">
    <w:name w:val="List Paragraph"/>
    <w:basedOn w:val="Normal"/>
    <w:link w:val="ListParagraphChar"/>
    <w:uiPriority w:val="34"/>
    <w:qFormat/>
    <w:pPr>
      <w:numPr>
        <w:numId w:val="12"/>
      </w:numPr>
      <w:tabs>
        <w:tab w:val="left" w:pos="426"/>
      </w:tabs>
    </w:pPr>
  </w:style>
  <w:style w:type="character" w:customStyle="1" w:styleId="HeaderChar">
    <w:name w:val="Header Char"/>
    <w:link w:val="Header"/>
    <w:uiPriority w:val="99"/>
    <w:qFormat/>
    <w:rPr>
      <w:rFonts w:ascii="Arial" w:hAnsi="Arial"/>
      <w:bCs/>
      <w:color w:val="000000"/>
      <w:sz w:val="18"/>
      <w:szCs w:val="24"/>
      <w:lang w:eastAsia="en-US"/>
    </w:rPr>
  </w:style>
  <w:style w:type="paragraph" w:customStyle="1" w:styleId="Revision1">
    <w:name w:val="Revision1"/>
    <w:hidden/>
    <w:uiPriority w:val="99"/>
    <w:semiHidden/>
    <w:qFormat/>
    <w:pPr>
      <w:spacing w:after="120"/>
    </w:pPr>
    <w:rPr>
      <w:rFonts w:ascii="Arial" w:eastAsia="Times New Roman" w:hAnsi="Arial" w:cs="Times New Roman"/>
      <w:color w:val="000000"/>
      <w:sz w:val="24"/>
      <w:szCs w:val="24"/>
      <w:lang w:eastAsia="en-US"/>
    </w:rPr>
  </w:style>
  <w:style w:type="paragraph" w:customStyle="1" w:styleId="Tableandfigurecaption">
    <w:name w:val="Table and figure caption"/>
    <w:basedOn w:val="Heading2"/>
    <w:qFormat/>
    <w:pPr>
      <w:ind w:left="360"/>
    </w:pPr>
    <w:rPr>
      <w:bCs/>
      <w:szCs w:val="20"/>
    </w:rPr>
  </w:style>
  <w:style w:type="paragraph" w:customStyle="1" w:styleId="Bulletpoints">
    <w:name w:val="Bullet points"/>
    <w:basedOn w:val="Normal"/>
    <w:link w:val="BulletpointsChar"/>
    <w:qFormat/>
    <w:pPr>
      <w:numPr>
        <w:numId w:val="1"/>
      </w:numPr>
      <w:tabs>
        <w:tab w:val="left" w:pos="993"/>
      </w:tabs>
      <w:ind w:left="993" w:hanging="425"/>
    </w:pPr>
  </w:style>
  <w:style w:type="paragraph" w:styleId="Quote">
    <w:name w:val="Quote"/>
    <w:basedOn w:val="Normal"/>
    <w:next w:val="Normal"/>
    <w:link w:val="QuoteChar"/>
    <w:uiPriority w:val="29"/>
    <w:qFormat/>
    <w:rPr>
      <w:i/>
      <w:iCs/>
    </w:rPr>
  </w:style>
  <w:style w:type="character" w:customStyle="1" w:styleId="BulletpointsChar">
    <w:name w:val="Bullet points Char"/>
    <w:link w:val="Bulletpoints"/>
    <w:qFormat/>
    <w:rPr>
      <w:rFonts w:ascii="Arial" w:eastAsia="Times New Roman" w:hAnsi="Arial" w:cs="Times New Roman"/>
      <w:color w:val="000000"/>
      <w:sz w:val="24"/>
      <w:szCs w:val="24"/>
    </w:rPr>
  </w:style>
  <w:style w:type="character" w:customStyle="1" w:styleId="QuoteChar">
    <w:name w:val="Quote Char"/>
    <w:link w:val="Quote"/>
    <w:uiPriority w:val="29"/>
    <w:qFormat/>
    <w:rPr>
      <w:rFonts w:ascii="Arial" w:hAnsi="Arial"/>
      <w:i/>
      <w:iCs/>
      <w:color w:val="000000"/>
      <w:sz w:val="24"/>
      <w:szCs w:val="24"/>
      <w:lang w:eastAsia="en-US"/>
    </w:rPr>
  </w:style>
  <w:style w:type="character" w:customStyle="1" w:styleId="Firstpagetablebold">
    <w:name w:val="First page table: bold"/>
    <w:qFormat/>
    <w:rPr>
      <w:rFonts w:ascii="Arial" w:hAnsi="Arial"/>
      <w:b/>
      <w:sz w:val="24"/>
    </w:rPr>
  </w:style>
  <w:style w:type="paragraph" w:customStyle="1" w:styleId="bParagraphtext">
    <w:name w:val="bParagraph text"/>
    <w:basedOn w:val="ListParagraph"/>
    <w:link w:val="bParagraphtextChar"/>
    <w:qFormat/>
  </w:style>
  <w:style w:type="character" w:customStyle="1" w:styleId="ListParagraphChar">
    <w:name w:val="List Paragraph Char"/>
    <w:link w:val="ListParagraph"/>
    <w:uiPriority w:val="34"/>
    <w:rPr>
      <w:rFonts w:ascii="Arial" w:eastAsia="Times New Roman" w:hAnsi="Arial" w:cs="Times New Roman"/>
      <w:color w:val="000000"/>
      <w:sz w:val="24"/>
      <w:szCs w:val="24"/>
    </w:rPr>
  </w:style>
  <w:style w:type="character" w:customStyle="1" w:styleId="bParagraphtextChar">
    <w:name w:val="bParagraph text Char"/>
    <w:link w:val="bParagraphtext"/>
    <w:rPr>
      <w:rFonts w:ascii="Arial" w:eastAsia="Times New Roman" w:hAnsi="Arial" w:cs="Times New Roman"/>
      <w:color w:val="000000"/>
      <w:sz w:val="24"/>
      <w:szCs w:val="24"/>
    </w:rPr>
  </w:style>
  <w:style w:type="paragraph" w:customStyle="1" w:styleId="Numberedlist">
    <w:name w:val="Numbered list"/>
    <w:basedOn w:val="Bulletpoints"/>
    <w:link w:val="NumberedlistChar"/>
    <w:qFormat/>
    <w:pPr>
      <w:numPr>
        <w:numId w:val="2"/>
      </w:numPr>
      <w:ind w:left="993" w:hanging="426"/>
    </w:pPr>
  </w:style>
  <w:style w:type="character" w:customStyle="1" w:styleId="Heading1Char">
    <w:name w:val="Heading 1 Char"/>
    <w:link w:val="Heading1"/>
    <w:rPr>
      <w:rFonts w:ascii="Arial" w:hAnsi="Arial"/>
      <w:b/>
      <w:bCs/>
      <w:color w:val="000000"/>
      <w:sz w:val="24"/>
      <w:szCs w:val="24"/>
      <w:lang w:eastAsia="en-US"/>
    </w:rPr>
  </w:style>
  <w:style w:type="character" w:customStyle="1" w:styleId="NumberedlistChar">
    <w:name w:val="Numbered list Char"/>
    <w:link w:val="Numberedlist"/>
    <w:qFormat/>
    <w:rPr>
      <w:rFonts w:ascii="Arial" w:eastAsia="Times New Roman" w:hAnsi="Arial" w:cs="Times New Roman"/>
      <w:color w:val="000000"/>
      <w:sz w:val="24"/>
      <w:szCs w:val="24"/>
    </w:rPr>
  </w:style>
  <w:style w:type="paragraph" w:customStyle="1" w:styleId="Default">
    <w:name w:val="Default"/>
    <w:rsid w:val="00401F60"/>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ommentTextChar">
    <w:name w:val="Comment Text Char"/>
    <w:basedOn w:val="DefaultParagraphFont"/>
    <w:link w:val="CommentText"/>
    <w:uiPriority w:val="99"/>
    <w:semiHidden/>
    <w:rsid w:val="003D0D22"/>
    <w:rPr>
      <w:rFonts w:ascii="Arial" w:eastAsia="Times New Roman" w:hAnsi="Arial" w:cs="Times New Roman"/>
      <w:color w:val="000000"/>
    </w:rPr>
  </w:style>
  <w:style w:type="numbering" w:customStyle="1" w:styleId="StyleNumberedLeft0cmHanging075cm">
    <w:name w:val="Style Numbered Left:  0 cm Hanging:  0.75 cm"/>
    <w:basedOn w:val="NoList"/>
    <w:rsid w:val="000839A2"/>
    <w:pPr>
      <w:numPr>
        <w:numId w:val="6"/>
      </w:numPr>
    </w:pPr>
  </w:style>
  <w:style w:type="character" w:styleId="FollowedHyperlink">
    <w:name w:val="FollowedHyperlink"/>
    <w:basedOn w:val="DefaultParagraphFont"/>
    <w:semiHidden/>
    <w:unhideWhenUsed/>
    <w:rsid w:val="00844F48"/>
    <w:rPr>
      <w:color w:val="954F72" w:themeColor="followedHyperlink"/>
      <w:u w:val="single"/>
    </w:rPr>
  </w:style>
  <w:style w:type="paragraph" w:styleId="Revision">
    <w:name w:val="Revision"/>
    <w:hidden/>
    <w:uiPriority w:val="99"/>
    <w:semiHidden/>
    <w:rsid w:val="00D7638E"/>
    <w:pPr>
      <w:spacing w:after="0" w:line="240" w:lineRule="auto"/>
    </w:pPr>
    <w:rPr>
      <w:rFonts w:ascii="Arial" w:eastAsia="Times New Roman" w:hAnsi="Arial" w:cs="Times New Roman"/>
      <w:color w:val="000000"/>
      <w:sz w:val="24"/>
      <w:szCs w:val="24"/>
    </w:rPr>
  </w:style>
  <w:style w:type="character" w:customStyle="1" w:styleId="ui-provider">
    <w:name w:val="ui-provider"/>
    <w:basedOn w:val="DefaultParagraphFont"/>
    <w:rsid w:val="00102522"/>
  </w:style>
  <w:style w:type="character" w:customStyle="1" w:styleId="normaltextrun">
    <w:name w:val="normaltextrun"/>
    <w:basedOn w:val="DefaultParagraphFont"/>
    <w:rsid w:val="007E3A58"/>
  </w:style>
  <w:style w:type="character" w:customStyle="1" w:styleId="eop">
    <w:name w:val="eop"/>
    <w:basedOn w:val="DefaultParagraphFont"/>
    <w:rsid w:val="007E3A58"/>
  </w:style>
  <w:style w:type="paragraph" w:customStyle="1" w:styleId="paragraph">
    <w:name w:val="paragraph"/>
    <w:basedOn w:val="Normal"/>
    <w:rsid w:val="003B11B5"/>
    <w:pPr>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1990">
      <w:bodyDiv w:val="1"/>
      <w:marLeft w:val="0"/>
      <w:marRight w:val="0"/>
      <w:marTop w:val="0"/>
      <w:marBottom w:val="0"/>
      <w:divBdr>
        <w:top w:val="none" w:sz="0" w:space="0" w:color="auto"/>
        <w:left w:val="none" w:sz="0" w:space="0" w:color="auto"/>
        <w:bottom w:val="none" w:sz="0" w:space="0" w:color="auto"/>
        <w:right w:val="none" w:sz="0" w:space="0" w:color="auto"/>
      </w:divBdr>
      <w:divsChild>
        <w:div w:id="1714035621">
          <w:marLeft w:val="0"/>
          <w:marRight w:val="0"/>
          <w:marTop w:val="0"/>
          <w:marBottom w:val="0"/>
          <w:divBdr>
            <w:top w:val="none" w:sz="0" w:space="0" w:color="auto"/>
            <w:left w:val="none" w:sz="0" w:space="0" w:color="auto"/>
            <w:bottom w:val="none" w:sz="0" w:space="0" w:color="auto"/>
            <w:right w:val="none" w:sz="0" w:space="0" w:color="auto"/>
          </w:divBdr>
          <w:divsChild>
            <w:div w:id="48580856">
              <w:marLeft w:val="0"/>
              <w:marRight w:val="0"/>
              <w:marTop w:val="0"/>
              <w:marBottom w:val="0"/>
              <w:divBdr>
                <w:top w:val="none" w:sz="0" w:space="0" w:color="auto"/>
                <w:left w:val="none" w:sz="0" w:space="0" w:color="auto"/>
                <w:bottom w:val="none" w:sz="0" w:space="0" w:color="auto"/>
                <w:right w:val="none" w:sz="0" w:space="0" w:color="auto"/>
              </w:divBdr>
            </w:div>
            <w:div w:id="409011057">
              <w:marLeft w:val="0"/>
              <w:marRight w:val="0"/>
              <w:marTop w:val="0"/>
              <w:marBottom w:val="0"/>
              <w:divBdr>
                <w:top w:val="none" w:sz="0" w:space="0" w:color="auto"/>
                <w:left w:val="none" w:sz="0" w:space="0" w:color="auto"/>
                <w:bottom w:val="none" w:sz="0" w:space="0" w:color="auto"/>
                <w:right w:val="none" w:sz="0" w:space="0" w:color="auto"/>
              </w:divBdr>
            </w:div>
            <w:div w:id="455223217">
              <w:marLeft w:val="0"/>
              <w:marRight w:val="0"/>
              <w:marTop w:val="0"/>
              <w:marBottom w:val="0"/>
              <w:divBdr>
                <w:top w:val="none" w:sz="0" w:space="0" w:color="auto"/>
                <w:left w:val="none" w:sz="0" w:space="0" w:color="auto"/>
                <w:bottom w:val="none" w:sz="0" w:space="0" w:color="auto"/>
                <w:right w:val="none" w:sz="0" w:space="0" w:color="auto"/>
              </w:divBdr>
            </w:div>
            <w:div w:id="661927405">
              <w:marLeft w:val="0"/>
              <w:marRight w:val="0"/>
              <w:marTop w:val="0"/>
              <w:marBottom w:val="0"/>
              <w:divBdr>
                <w:top w:val="none" w:sz="0" w:space="0" w:color="auto"/>
                <w:left w:val="none" w:sz="0" w:space="0" w:color="auto"/>
                <w:bottom w:val="none" w:sz="0" w:space="0" w:color="auto"/>
                <w:right w:val="none" w:sz="0" w:space="0" w:color="auto"/>
              </w:divBdr>
            </w:div>
            <w:div w:id="671835848">
              <w:marLeft w:val="0"/>
              <w:marRight w:val="0"/>
              <w:marTop w:val="0"/>
              <w:marBottom w:val="0"/>
              <w:divBdr>
                <w:top w:val="none" w:sz="0" w:space="0" w:color="auto"/>
                <w:left w:val="none" w:sz="0" w:space="0" w:color="auto"/>
                <w:bottom w:val="none" w:sz="0" w:space="0" w:color="auto"/>
                <w:right w:val="none" w:sz="0" w:space="0" w:color="auto"/>
              </w:divBdr>
            </w:div>
            <w:div w:id="930285038">
              <w:marLeft w:val="0"/>
              <w:marRight w:val="0"/>
              <w:marTop w:val="0"/>
              <w:marBottom w:val="0"/>
              <w:divBdr>
                <w:top w:val="none" w:sz="0" w:space="0" w:color="auto"/>
                <w:left w:val="none" w:sz="0" w:space="0" w:color="auto"/>
                <w:bottom w:val="none" w:sz="0" w:space="0" w:color="auto"/>
                <w:right w:val="none" w:sz="0" w:space="0" w:color="auto"/>
              </w:divBdr>
            </w:div>
            <w:div w:id="1030648313">
              <w:marLeft w:val="0"/>
              <w:marRight w:val="0"/>
              <w:marTop w:val="0"/>
              <w:marBottom w:val="0"/>
              <w:divBdr>
                <w:top w:val="none" w:sz="0" w:space="0" w:color="auto"/>
                <w:left w:val="none" w:sz="0" w:space="0" w:color="auto"/>
                <w:bottom w:val="none" w:sz="0" w:space="0" w:color="auto"/>
                <w:right w:val="none" w:sz="0" w:space="0" w:color="auto"/>
              </w:divBdr>
            </w:div>
            <w:div w:id="1048184902">
              <w:marLeft w:val="0"/>
              <w:marRight w:val="0"/>
              <w:marTop w:val="0"/>
              <w:marBottom w:val="0"/>
              <w:divBdr>
                <w:top w:val="none" w:sz="0" w:space="0" w:color="auto"/>
                <w:left w:val="none" w:sz="0" w:space="0" w:color="auto"/>
                <w:bottom w:val="none" w:sz="0" w:space="0" w:color="auto"/>
                <w:right w:val="none" w:sz="0" w:space="0" w:color="auto"/>
              </w:divBdr>
            </w:div>
            <w:div w:id="1609779075">
              <w:marLeft w:val="0"/>
              <w:marRight w:val="0"/>
              <w:marTop w:val="0"/>
              <w:marBottom w:val="0"/>
              <w:divBdr>
                <w:top w:val="none" w:sz="0" w:space="0" w:color="auto"/>
                <w:left w:val="none" w:sz="0" w:space="0" w:color="auto"/>
                <w:bottom w:val="none" w:sz="0" w:space="0" w:color="auto"/>
                <w:right w:val="none" w:sz="0" w:space="0" w:color="auto"/>
              </w:divBdr>
            </w:div>
            <w:div w:id="1704937414">
              <w:marLeft w:val="0"/>
              <w:marRight w:val="0"/>
              <w:marTop w:val="0"/>
              <w:marBottom w:val="0"/>
              <w:divBdr>
                <w:top w:val="none" w:sz="0" w:space="0" w:color="auto"/>
                <w:left w:val="none" w:sz="0" w:space="0" w:color="auto"/>
                <w:bottom w:val="none" w:sz="0" w:space="0" w:color="auto"/>
                <w:right w:val="none" w:sz="0" w:space="0" w:color="auto"/>
              </w:divBdr>
            </w:div>
            <w:div w:id="1744831363">
              <w:marLeft w:val="0"/>
              <w:marRight w:val="0"/>
              <w:marTop w:val="0"/>
              <w:marBottom w:val="0"/>
              <w:divBdr>
                <w:top w:val="none" w:sz="0" w:space="0" w:color="auto"/>
                <w:left w:val="none" w:sz="0" w:space="0" w:color="auto"/>
                <w:bottom w:val="none" w:sz="0" w:space="0" w:color="auto"/>
                <w:right w:val="none" w:sz="0" w:space="0" w:color="auto"/>
              </w:divBdr>
            </w:div>
            <w:div w:id="1957633578">
              <w:marLeft w:val="0"/>
              <w:marRight w:val="0"/>
              <w:marTop w:val="0"/>
              <w:marBottom w:val="0"/>
              <w:divBdr>
                <w:top w:val="none" w:sz="0" w:space="0" w:color="auto"/>
                <w:left w:val="none" w:sz="0" w:space="0" w:color="auto"/>
                <w:bottom w:val="none" w:sz="0" w:space="0" w:color="auto"/>
                <w:right w:val="none" w:sz="0" w:space="0" w:color="auto"/>
              </w:divBdr>
            </w:div>
            <w:div w:id="2092307968">
              <w:marLeft w:val="0"/>
              <w:marRight w:val="0"/>
              <w:marTop w:val="0"/>
              <w:marBottom w:val="0"/>
              <w:divBdr>
                <w:top w:val="none" w:sz="0" w:space="0" w:color="auto"/>
                <w:left w:val="none" w:sz="0" w:space="0" w:color="auto"/>
                <w:bottom w:val="none" w:sz="0" w:space="0" w:color="auto"/>
                <w:right w:val="none" w:sz="0" w:space="0" w:color="auto"/>
              </w:divBdr>
            </w:div>
            <w:div w:id="2120489752">
              <w:marLeft w:val="0"/>
              <w:marRight w:val="0"/>
              <w:marTop w:val="0"/>
              <w:marBottom w:val="0"/>
              <w:divBdr>
                <w:top w:val="none" w:sz="0" w:space="0" w:color="auto"/>
                <w:left w:val="none" w:sz="0" w:space="0" w:color="auto"/>
                <w:bottom w:val="none" w:sz="0" w:space="0" w:color="auto"/>
                <w:right w:val="none" w:sz="0" w:space="0" w:color="auto"/>
              </w:divBdr>
            </w:div>
          </w:divsChild>
        </w:div>
        <w:div w:id="2093579954">
          <w:marLeft w:val="0"/>
          <w:marRight w:val="0"/>
          <w:marTop w:val="0"/>
          <w:marBottom w:val="0"/>
          <w:divBdr>
            <w:top w:val="none" w:sz="0" w:space="0" w:color="auto"/>
            <w:left w:val="none" w:sz="0" w:space="0" w:color="auto"/>
            <w:bottom w:val="none" w:sz="0" w:space="0" w:color="auto"/>
            <w:right w:val="none" w:sz="0" w:space="0" w:color="auto"/>
          </w:divBdr>
          <w:divsChild>
            <w:div w:id="57483632">
              <w:marLeft w:val="0"/>
              <w:marRight w:val="0"/>
              <w:marTop w:val="0"/>
              <w:marBottom w:val="0"/>
              <w:divBdr>
                <w:top w:val="none" w:sz="0" w:space="0" w:color="auto"/>
                <w:left w:val="none" w:sz="0" w:space="0" w:color="auto"/>
                <w:bottom w:val="none" w:sz="0" w:space="0" w:color="auto"/>
                <w:right w:val="none" w:sz="0" w:space="0" w:color="auto"/>
              </w:divBdr>
            </w:div>
            <w:div w:id="59913098">
              <w:marLeft w:val="0"/>
              <w:marRight w:val="0"/>
              <w:marTop w:val="0"/>
              <w:marBottom w:val="0"/>
              <w:divBdr>
                <w:top w:val="none" w:sz="0" w:space="0" w:color="auto"/>
                <w:left w:val="none" w:sz="0" w:space="0" w:color="auto"/>
                <w:bottom w:val="none" w:sz="0" w:space="0" w:color="auto"/>
                <w:right w:val="none" w:sz="0" w:space="0" w:color="auto"/>
              </w:divBdr>
            </w:div>
            <w:div w:id="123043662">
              <w:marLeft w:val="0"/>
              <w:marRight w:val="0"/>
              <w:marTop w:val="0"/>
              <w:marBottom w:val="0"/>
              <w:divBdr>
                <w:top w:val="none" w:sz="0" w:space="0" w:color="auto"/>
                <w:left w:val="none" w:sz="0" w:space="0" w:color="auto"/>
                <w:bottom w:val="none" w:sz="0" w:space="0" w:color="auto"/>
                <w:right w:val="none" w:sz="0" w:space="0" w:color="auto"/>
              </w:divBdr>
            </w:div>
            <w:div w:id="189271011">
              <w:marLeft w:val="0"/>
              <w:marRight w:val="0"/>
              <w:marTop w:val="0"/>
              <w:marBottom w:val="0"/>
              <w:divBdr>
                <w:top w:val="none" w:sz="0" w:space="0" w:color="auto"/>
                <w:left w:val="none" w:sz="0" w:space="0" w:color="auto"/>
                <w:bottom w:val="none" w:sz="0" w:space="0" w:color="auto"/>
                <w:right w:val="none" w:sz="0" w:space="0" w:color="auto"/>
              </w:divBdr>
            </w:div>
            <w:div w:id="194512443">
              <w:marLeft w:val="0"/>
              <w:marRight w:val="0"/>
              <w:marTop w:val="0"/>
              <w:marBottom w:val="0"/>
              <w:divBdr>
                <w:top w:val="none" w:sz="0" w:space="0" w:color="auto"/>
                <w:left w:val="none" w:sz="0" w:space="0" w:color="auto"/>
                <w:bottom w:val="none" w:sz="0" w:space="0" w:color="auto"/>
                <w:right w:val="none" w:sz="0" w:space="0" w:color="auto"/>
              </w:divBdr>
            </w:div>
            <w:div w:id="478427632">
              <w:marLeft w:val="0"/>
              <w:marRight w:val="0"/>
              <w:marTop w:val="0"/>
              <w:marBottom w:val="0"/>
              <w:divBdr>
                <w:top w:val="none" w:sz="0" w:space="0" w:color="auto"/>
                <w:left w:val="none" w:sz="0" w:space="0" w:color="auto"/>
                <w:bottom w:val="none" w:sz="0" w:space="0" w:color="auto"/>
                <w:right w:val="none" w:sz="0" w:space="0" w:color="auto"/>
              </w:divBdr>
            </w:div>
            <w:div w:id="682168938">
              <w:marLeft w:val="0"/>
              <w:marRight w:val="0"/>
              <w:marTop w:val="0"/>
              <w:marBottom w:val="0"/>
              <w:divBdr>
                <w:top w:val="none" w:sz="0" w:space="0" w:color="auto"/>
                <w:left w:val="none" w:sz="0" w:space="0" w:color="auto"/>
                <w:bottom w:val="none" w:sz="0" w:space="0" w:color="auto"/>
                <w:right w:val="none" w:sz="0" w:space="0" w:color="auto"/>
              </w:divBdr>
            </w:div>
            <w:div w:id="735665829">
              <w:marLeft w:val="0"/>
              <w:marRight w:val="0"/>
              <w:marTop w:val="0"/>
              <w:marBottom w:val="0"/>
              <w:divBdr>
                <w:top w:val="none" w:sz="0" w:space="0" w:color="auto"/>
                <w:left w:val="none" w:sz="0" w:space="0" w:color="auto"/>
                <w:bottom w:val="none" w:sz="0" w:space="0" w:color="auto"/>
                <w:right w:val="none" w:sz="0" w:space="0" w:color="auto"/>
              </w:divBdr>
            </w:div>
            <w:div w:id="1279069422">
              <w:marLeft w:val="0"/>
              <w:marRight w:val="0"/>
              <w:marTop w:val="0"/>
              <w:marBottom w:val="0"/>
              <w:divBdr>
                <w:top w:val="none" w:sz="0" w:space="0" w:color="auto"/>
                <w:left w:val="none" w:sz="0" w:space="0" w:color="auto"/>
                <w:bottom w:val="none" w:sz="0" w:space="0" w:color="auto"/>
                <w:right w:val="none" w:sz="0" w:space="0" w:color="auto"/>
              </w:divBdr>
            </w:div>
            <w:div w:id="1346664739">
              <w:marLeft w:val="0"/>
              <w:marRight w:val="0"/>
              <w:marTop w:val="0"/>
              <w:marBottom w:val="0"/>
              <w:divBdr>
                <w:top w:val="none" w:sz="0" w:space="0" w:color="auto"/>
                <w:left w:val="none" w:sz="0" w:space="0" w:color="auto"/>
                <w:bottom w:val="none" w:sz="0" w:space="0" w:color="auto"/>
                <w:right w:val="none" w:sz="0" w:space="0" w:color="auto"/>
              </w:divBdr>
            </w:div>
            <w:div w:id="1389114026">
              <w:marLeft w:val="0"/>
              <w:marRight w:val="0"/>
              <w:marTop w:val="0"/>
              <w:marBottom w:val="0"/>
              <w:divBdr>
                <w:top w:val="none" w:sz="0" w:space="0" w:color="auto"/>
                <w:left w:val="none" w:sz="0" w:space="0" w:color="auto"/>
                <w:bottom w:val="none" w:sz="0" w:space="0" w:color="auto"/>
                <w:right w:val="none" w:sz="0" w:space="0" w:color="auto"/>
              </w:divBdr>
            </w:div>
            <w:div w:id="1558737094">
              <w:marLeft w:val="0"/>
              <w:marRight w:val="0"/>
              <w:marTop w:val="0"/>
              <w:marBottom w:val="0"/>
              <w:divBdr>
                <w:top w:val="none" w:sz="0" w:space="0" w:color="auto"/>
                <w:left w:val="none" w:sz="0" w:space="0" w:color="auto"/>
                <w:bottom w:val="none" w:sz="0" w:space="0" w:color="auto"/>
                <w:right w:val="none" w:sz="0" w:space="0" w:color="auto"/>
              </w:divBdr>
            </w:div>
            <w:div w:id="1581526573">
              <w:marLeft w:val="0"/>
              <w:marRight w:val="0"/>
              <w:marTop w:val="0"/>
              <w:marBottom w:val="0"/>
              <w:divBdr>
                <w:top w:val="none" w:sz="0" w:space="0" w:color="auto"/>
                <w:left w:val="none" w:sz="0" w:space="0" w:color="auto"/>
                <w:bottom w:val="none" w:sz="0" w:space="0" w:color="auto"/>
                <w:right w:val="none" w:sz="0" w:space="0" w:color="auto"/>
              </w:divBdr>
            </w:div>
            <w:div w:id="16145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8060">
      <w:bodyDiv w:val="1"/>
      <w:marLeft w:val="0"/>
      <w:marRight w:val="0"/>
      <w:marTop w:val="0"/>
      <w:marBottom w:val="0"/>
      <w:divBdr>
        <w:top w:val="none" w:sz="0" w:space="0" w:color="auto"/>
        <w:left w:val="none" w:sz="0" w:space="0" w:color="auto"/>
        <w:bottom w:val="none" w:sz="0" w:space="0" w:color="auto"/>
        <w:right w:val="none" w:sz="0" w:space="0" w:color="auto"/>
      </w:divBdr>
    </w:div>
    <w:div w:id="993072089">
      <w:bodyDiv w:val="1"/>
      <w:marLeft w:val="0"/>
      <w:marRight w:val="0"/>
      <w:marTop w:val="0"/>
      <w:marBottom w:val="0"/>
      <w:divBdr>
        <w:top w:val="none" w:sz="0" w:space="0" w:color="auto"/>
        <w:left w:val="none" w:sz="0" w:space="0" w:color="auto"/>
        <w:bottom w:val="none" w:sz="0" w:space="0" w:color="auto"/>
        <w:right w:val="none" w:sz="0" w:space="0" w:color="auto"/>
      </w:divBdr>
    </w:div>
    <w:div w:id="1871065574">
      <w:bodyDiv w:val="1"/>
      <w:marLeft w:val="0"/>
      <w:marRight w:val="0"/>
      <w:marTop w:val="0"/>
      <w:marBottom w:val="0"/>
      <w:divBdr>
        <w:top w:val="none" w:sz="0" w:space="0" w:color="auto"/>
        <w:left w:val="none" w:sz="0" w:space="0" w:color="auto"/>
        <w:bottom w:val="none" w:sz="0" w:space="0" w:color="auto"/>
        <w:right w:val="none" w:sz="0" w:space="0" w:color="auto"/>
      </w:divBdr>
      <w:divsChild>
        <w:div w:id="233783159">
          <w:marLeft w:val="0"/>
          <w:marRight w:val="0"/>
          <w:marTop w:val="0"/>
          <w:marBottom w:val="0"/>
          <w:divBdr>
            <w:top w:val="none" w:sz="0" w:space="0" w:color="auto"/>
            <w:left w:val="none" w:sz="0" w:space="0" w:color="auto"/>
            <w:bottom w:val="none" w:sz="0" w:space="0" w:color="auto"/>
            <w:right w:val="none" w:sz="0" w:space="0" w:color="auto"/>
          </w:divBdr>
        </w:div>
        <w:div w:id="254289568">
          <w:marLeft w:val="0"/>
          <w:marRight w:val="0"/>
          <w:marTop w:val="0"/>
          <w:marBottom w:val="0"/>
          <w:divBdr>
            <w:top w:val="none" w:sz="0" w:space="0" w:color="auto"/>
            <w:left w:val="none" w:sz="0" w:space="0" w:color="auto"/>
            <w:bottom w:val="none" w:sz="0" w:space="0" w:color="auto"/>
            <w:right w:val="none" w:sz="0" w:space="0" w:color="auto"/>
          </w:divBdr>
        </w:div>
        <w:div w:id="375467278">
          <w:marLeft w:val="0"/>
          <w:marRight w:val="0"/>
          <w:marTop w:val="0"/>
          <w:marBottom w:val="0"/>
          <w:divBdr>
            <w:top w:val="none" w:sz="0" w:space="0" w:color="auto"/>
            <w:left w:val="none" w:sz="0" w:space="0" w:color="auto"/>
            <w:bottom w:val="none" w:sz="0" w:space="0" w:color="auto"/>
            <w:right w:val="none" w:sz="0" w:space="0" w:color="auto"/>
          </w:divBdr>
        </w:div>
        <w:div w:id="398331844">
          <w:marLeft w:val="0"/>
          <w:marRight w:val="0"/>
          <w:marTop w:val="0"/>
          <w:marBottom w:val="0"/>
          <w:divBdr>
            <w:top w:val="none" w:sz="0" w:space="0" w:color="auto"/>
            <w:left w:val="none" w:sz="0" w:space="0" w:color="auto"/>
            <w:bottom w:val="none" w:sz="0" w:space="0" w:color="auto"/>
            <w:right w:val="none" w:sz="0" w:space="0" w:color="auto"/>
          </w:divBdr>
        </w:div>
        <w:div w:id="576600528">
          <w:marLeft w:val="0"/>
          <w:marRight w:val="0"/>
          <w:marTop w:val="0"/>
          <w:marBottom w:val="0"/>
          <w:divBdr>
            <w:top w:val="none" w:sz="0" w:space="0" w:color="auto"/>
            <w:left w:val="none" w:sz="0" w:space="0" w:color="auto"/>
            <w:bottom w:val="none" w:sz="0" w:space="0" w:color="auto"/>
            <w:right w:val="none" w:sz="0" w:space="0" w:color="auto"/>
          </w:divBdr>
        </w:div>
        <w:div w:id="583533555">
          <w:marLeft w:val="0"/>
          <w:marRight w:val="0"/>
          <w:marTop w:val="0"/>
          <w:marBottom w:val="0"/>
          <w:divBdr>
            <w:top w:val="none" w:sz="0" w:space="0" w:color="auto"/>
            <w:left w:val="none" w:sz="0" w:space="0" w:color="auto"/>
            <w:bottom w:val="none" w:sz="0" w:space="0" w:color="auto"/>
            <w:right w:val="none" w:sz="0" w:space="0" w:color="auto"/>
          </w:divBdr>
        </w:div>
        <w:div w:id="618033310">
          <w:marLeft w:val="0"/>
          <w:marRight w:val="0"/>
          <w:marTop w:val="0"/>
          <w:marBottom w:val="0"/>
          <w:divBdr>
            <w:top w:val="none" w:sz="0" w:space="0" w:color="auto"/>
            <w:left w:val="none" w:sz="0" w:space="0" w:color="auto"/>
            <w:bottom w:val="none" w:sz="0" w:space="0" w:color="auto"/>
            <w:right w:val="none" w:sz="0" w:space="0" w:color="auto"/>
          </w:divBdr>
        </w:div>
        <w:div w:id="734401773">
          <w:marLeft w:val="0"/>
          <w:marRight w:val="0"/>
          <w:marTop w:val="0"/>
          <w:marBottom w:val="0"/>
          <w:divBdr>
            <w:top w:val="none" w:sz="0" w:space="0" w:color="auto"/>
            <w:left w:val="none" w:sz="0" w:space="0" w:color="auto"/>
            <w:bottom w:val="none" w:sz="0" w:space="0" w:color="auto"/>
            <w:right w:val="none" w:sz="0" w:space="0" w:color="auto"/>
          </w:divBdr>
        </w:div>
        <w:div w:id="841433663">
          <w:marLeft w:val="0"/>
          <w:marRight w:val="0"/>
          <w:marTop w:val="0"/>
          <w:marBottom w:val="0"/>
          <w:divBdr>
            <w:top w:val="none" w:sz="0" w:space="0" w:color="auto"/>
            <w:left w:val="none" w:sz="0" w:space="0" w:color="auto"/>
            <w:bottom w:val="none" w:sz="0" w:space="0" w:color="auto"/>
            <w:right w:val="none" w:sz="0" w:space="0" w:color="auto"/>
          </w:divBdr>
        </w:div>
        <w:div w:id="948969687">
          <w:marLeft w:val="0"/>
          <w:marRight w:val="0"/>
          <w:marTop w:val="0"/>
          <w:marBottom w:val="0"/>
          <w:divBdr>
            <w:top w:val="none" w:sz="0" w:space="0" w:color="auto"/>
            <w:left w:val="none" w:sz="0" w:space="0" w:color="auto"/>
            <w:bottom w:val="none" w:sz="0" w:space="0" w:color="auto"/>
            <w:right w:val="none" w:sz="0" w:space="0" w:color="auto"/>
          </w:divBdr>
        </w:div>
        <w:div w:id="1129670582">
          <w:marLeft w:val="0"/>
          <w:marRight w:val="0"/>
          <w:marTop w:val="0"/>
          <w:marBottom w:val="0"/>
          <w:divBdr>
            <w:top w:val="none" w:sz="0" w:space="0" w:color="auto"/>
            <w:left w:val="none" w:sz="0" w:space="0" w:color="auto"/>
            <w:bottom w:val="none" w:sz="0" w:space="0" w:color="auto"/>
            <w:right w:val="none" w:sz="0" w:space="0" w:color="auto"/>
          </w:divBdr>
        </w:div>
        <w:div w:id="1151870386">
          <w:marLeft w:val="0"/>
          <w:marRight w:val="0"/>
          <w:marTop w:val="0"/>
          <w:marBottom w:val="0"/>
          <w:divBdr>
            <w:top w:val="none" w:sz="0" w:space="0" w:color="auto"/>
            <w:left w:val="none" w:sz="0" w:space="0" w:color="auto"/>
            <w:bottom w:val="none" w:sz="0" w:space="0" w:color="auto"/>
            <w:right w:val="none" w:sz="0" w:space="0" w:color="auto"/>
          </w:divBdr>
        </w:div>
        <w:div w:id="1227691324">
          <w:marLeft w:val="0"/>
          <w:marRight w:val="0"/>
          <w:marTop w:val="0"/>
          <w:marBottom w:val="0"/>
          <w:divBdr>
            <w:top w:val="none" w:sz="0" w:space="0" w:color="auto"/>
            <w:left w:val="none" w:sz="0" w:space="0" w:color="auto"/>
            <w:bottom w:val="none" w:sz="0" w:space="0" w:color="auto"/>
            <w:right w:val="none" w:sz="0" w:space="0" w:color="auto"/>
          </w:divBdr>
        </w:div>
        <w:div w:id="1268850027">
          <w:marLeft w:val="0"/>
          <w:marRight w:val="0"/>
          <w:marTop w:val="0"/>
          <w:marBottom w:val="0"/>
          <w:divBdr>
            <w:top w:val="none" w:sz="0" w:space="0" w:color="auto"/>
            <w:left w:val="none" w:sz="0" w:space="0" w:color="auto"/>
            <w:bottom w:val="none" w:sz="0" w:space="0" w:color="auto"/>
            <w:right w:val="none" w:sz="0" w:space="0" w:color="auto"/>
          </w:divBdr>
        </w:div>
        <w:div w:id="1466389780">
          <w:marLeft w:val="0"/>
          <w:marRight w:val="0"/>
          <w:marTop w:val="0"/>
          <w:marBottom w:val="0"/>
          <w:divBdr>
            <w:top w:val="none" w:sz="0" w:space="0" w:color="auto"/>
            <w:left w:val="none" w:sz="0" w:space="0" w:color="auto"/>
            <w:bottom w:val="none" w:sz="0" w:space="0" w:color="auto"/>
            <w:right w:val="none" w:sz="0" w:space="0" w:color="auto"/>
          </w:divBdr>
        </w:div>
        <w:div w:id="1487866605">
          <w:marLeft w:val="0"/>
          <w:marRight w:val="0"/>
          <w:marTop w:val="0"/>
          <w:marBottom w:val="0"/>
          <w:divBdr>
            <w:top w:val="none" w:sz="0" w:space="0" w:color="auto"/>
            <w:left w:val="none" w:sz="0" w:space="0" w:color="auto"/>
            <w:bottom w:val="none" w:sz="0" w:space="0" w:color="auto"/>
            <w:right w:val="none" w:sz="0" w:space="0" w:color="auto"/>
          </w:divBdr>
        </w:div>
        <w:div w:id="1684015679">
          <w:marLeft w:val="0"/>
          <w:marRight w:val="0"/>
          <w:marTop w:val="0"/>
          <w:marBottom w:val="0"/>
          <w:divBdr>
            <w:top w:val="none" w:sz="0" w:space="0" w:color="auto"/>
            <w:left w:val="none" w:sz="0" w:space="0" w:color="auto"/>
            <w:bottom w:val="none" w:sz="0" w:space="0" w:color="auto"/>
            <w:right w:val="none" w:sz="0" w:space="0" w:color="auto"/>
          </w:divBdr>
        </w:div>
        <w:div w:id="1765031239">
          <w:marLeft w:val="0"/>
          <w:marRight w:val="0"/>
          <w:marTop w:val="0"/>
          <w:marBottom w:val="0"/>
          <w:divBdr>
            <w:top w:val="none" w:sz="0" w:space="0" w:color="auto"/>
            <w:left w:val="none" w:sz="0" w:space="0" w:color="auto"/>
            <w:bottom w:val="none" w:sz="0" w:space="0" w:color="auto"/>
            <w:right w:val="none" w:sz="0" w:space="0" w:color="auto"/>
          </w:divBdr>
          <w:divsChild>
            <w:div w:id="26034066">
              <w:marLeft w:val="0"/>
              <w:marRight w:val="0"/>
              <w:marTop w:val="0"/>
              <w:marBottom w:val="0"/>
              <w:divBdr>
                <w:top w:val="none" w:sz="0" w:space="0" w:color="auto"/>
                <w:left w:val="none" w:sz="0" w:space="0" w:color="auto"/>
                <w:bottom w:val="none" w:sz="0" w:space="0" w:color="auto"/>
                <w:right w:val="none" w:sz="0" w:space="0" w:color="auto"/>
              </w:divBdr>
            </w:div>
            <w:div w:id="434716478">
              <w:marLeft w:val="0"/>
              <w:marRight w:val="0"/>
              <w:marTop w:val="0"/>
              <w:marBottom w:val="0"/>
              <w:divBdr>
                <w:top w:val="none" w:sz="0" w:space="0" w:color="auto"/>
                <w:left w:val="none" w:sz="0" w:space="0" w:color="auto"/>
                <w:bottom w:val="none" w:sz="0" w:space="0" w:color="auto"/>
                <w:right w:val="none" w:sz="0" w:space="0" w:color="auto"/>
              </w:divBdr>
            </w:div>
            <w:div w:id="581986958">
              <w:marLeft w:val="0"/>
              <w:marRight w:val="0"/>
              <w:marTop w:val="0"/>
              <w:marBottom w:val="0"/>
              <w:divBdr>
                <w:top w:val="none" w:sz="0" w:space="0" w:color="auto"/>
                <w:left w:val="none" w:sz="0" w:space="0" w:color="auto"/>
                <w:bottom w:val="none" w:sz="0" w:space="0" w:color="auto"/>
                <w:right w:val="none" w:sz="0" w:space="0" w:color="auto"/>
              </w:divBdr>
            </w:div>
            <w:div w:id="598022067">
              <w:marLeft w:val="0"/>
              <w:marRight w:val="0"/>
              <w:marTop w:val="0"/>
              <w:marBottom w:val="0"/>
              <w:divBdr>
                <w:top w:val="none" w:sz="0" w:space="0" w:color="auto"/>
                <w:left w:val="none" w:sz="0" w:space="0" w:color="auto"/>
                <w:bottom w:val="none" w:sz="0" w:space="0" w:color="auto"/>
                <w:right w:val="none" w:sz="0" w:space="0" w:color="auto"/>
              </w:divBdr>
            </w:div>
            <w:div w:id="740753827">
              <w:marLeft w:val="0"/>
              <w:marRight w:val="0"/>
              <w:marTop w:val="0"/>
              <w:marBottom w:val="0"/>
              <w:divBdr>
                <w:top w:val="none" w:sz="0" w:space="0" w:color="auto"/>
                <w:left w:val="none" w:sz="0" w:space="0" w:color="auto"/>
                <w:bottom w:val="none" w:sz="0" w:space="0" w:color="auto"/>
                <w:right w:val="none" w:sz="0" w:space="0" w:color="auto"/>
              </w:divBdr>
            </w:div>
            <w:div w:id="829638464">
              <w:marLeft w:val="0"/>
              <w:marRight w:val="0"/>
              <w:marTop w:val="0"/>
              <w:marBottom w:val="0"/>
              <w:divBdr>
                <w:top w:val="none" w:sz="0" w:space="0" w:color="auto"/>
                <w:left w:val="none" w:sz="0" w:space="0" w:color="auto"/>
                <w:bottom w:val="none" w:sz="0" w:space="0" w:color="auto"/>
                <w:right w:val="none" w:sz="0" w:space="0" w:color="auto"/>
              </w:divBdr>
            </w:div>
            <w:div w:id="966087265">
              <w:marLeft w:val="0"/>
              <w:marRight w:val="0"/>
              <w:marTop w:val="0"/>
              <w:marBottom w:val="0"/>
              <w:divBdr>
                <w:top w:val="none" w:sz="0" w:space="0" w:color="auto"/>
                <w:left w:val="none" w:sz="0" w:space="0" w:color="auto"/>
                <w:bottom w:val="none" w:sz="0" w:space="0" w:color="auto"/>
                <w:right w:val="none" w:sz="0" w:space="0" w:color="auto"/>
              </w:divBdr>
            </w:div>
            <w:div w:id="1106384745">
              <w:marLeft w:val="0"/>
              <w:marRight w:val="0"/>
              <w:marTop w:val="0"/>
              <w:marBottom w:val="0"/>
              <w:divBdr>
                <w:top w:val="none" w:sz="0" w:space="0" w:color="auto"/>
                <w:left w:val="none" w:sz="0" w:space="0" w:color="auto"/>
                <w:bottom w:val="none" w:sz="0" w:space="0" w:color="auto"/>
                <w:right w:val="none" w:sz="0" w:space="0" w:color="auto"/>
              </w:divBdr>
            </w:div>
            <w:div w:id="1212307445">
              <w:marLeft w:val="0"/>
              <w:marRight w:val="0"/>
              <w:marTop w:val="0"/>
              <w:marBottom w:val="0"/>
              <w:divBdr>
                <w:top w:val="none" w:sz="0" w:space="0" w:color="auto"/>
                <w:left w:val="none" w:sz="0" w:space="0" w:color="auto"/>
                <w:bottom w:val="none" w:sz="0" w:space="0" w:color="auto"/>
                <w:right w:val="none" w:sz="0" w:space="0" w:color="auto"/>
              </w:divBdr>
            </w:div>
            <w:div w:id="1235899849">
              <w:marLeft w:val="0"/>
              <w:marRight w:val="0"/>
              <w:marTop w:val="0"/>
              <w:marBottom w:val="0"/>
              <w:divBdr>
                <w:top w:val="none" w:sz="0" w:space="0" w:color="auto"/>
                <w:left w:val="none" w:sz="0" w:space="0" w:color="auto"/>
                <w:bottom w:val="none" w:sz="0" w:space="0" w:color="auto"/>
                <w:right w:val="none" w:sz="0" w:space="0" w:color="auto"/>
              </w:divBdr>
            </w:div>
            <w:div w:id="1361398242">
              <w:marLeft w:val="0"/>
              <w:marRight w:val="0"/>
              <w:marTop w:val="0"/>
              <w:marBottom w:val="0"/>
              <w:divBdr>
                <w:top w:val="none" w:sz="0" w:space="0" w:color="auto"/>
                <w:left w:val="none" w:sz="0" w:space="0" w:color="auto"/>
                <w:bottom w:val="none" w:sz="0" w:space="0" w:color="auto"/>
                <w:right w:val="none" w:sz="0" w:space="0" w:color="auto"/>
              </w:divBdr>
            </w:div>
            <w:div w:id="1474062337">
              <w:marLeft w:val="0"/>
              <w:marRight w:val="0"/>
              <w:marTop w:val="0"/>
              <w:marBottom w:val="0"/>
              <w:divBdr>
                <w:top w:val="none" w:sz="0" w:space="0" w:color="auto"/>
                <w:left w:val="none" w:sz="0" w:space="0" w:color="auto"/>
                <w:bottom w:val="none" w:sz="0" w:space="0" w:color="auto"/>
                <w:right w:val="none" w:sz="0" w:space="0" w:color="auto"/>
              </w:divBdr>
            </w:div>
            <w:div w:id="1659307541">
              <w:marLeft w:val="0"/>
              <w:marRight w:val="0"/>
              <w:marTop w:val="0"/>
              <w:marBottom w:val="0"/>
              <w:divBdr>
                <w:top w:val="none" w:sz="0" w:space="0" w:color="auto"/>
                <w:left w:val="none" w:sz="0" w:space="0" w:color="auto"/>
                <w:bottom w:val="none" w:sz="0" w:space="0" w:color="auto"/>
                <w:right w:val="none" w:sz="0" w:space="0" w:color="auto"/>
              </w:divBdr>
            </w:div>
            <w:div w:id="1850212391">
              <w:marLeft w:val="0"/>
              <w:marRight w:val="0"/>
              <w:marTop w:val="0"/>
              <w:marBottom w:val="0"/>
              <w:divBdr>
                <w:top w:val="none" w:sz="0" w:space="0" w:color="auto"/>
                <w:left w:val="none" w:sz="0" w:space="0" w:color="auto"/>
                <w:bottom w:val="none" w:sz="0" w:space="0" w:color="auto"/>
                <w:right w:val="none" w:sz="0" w:space="0" w:color="auto"/>
              </w:divBdr>
            </w:div>
            <w:div w:id="1867400160">
              <w:marLeft w:val="0"/>
              <w:marRight w:val="0"/>
              <w:marTop w:val="0"/>
              <w:marBottom w:val="0"/>
              <w:divBdr>
                <w:top w:val="none" w:sz="0" w:space="0" w:color="auto"/>
                <w:left w:val="none" w:sz="0" w:space="0" w:color="auto"/>
                <w:bottom w:val="none" w:sz="0" w:space="0" w:color="auto"/>
                <w:right w:val="none" w:sz="0" w:space="0" w:color="auto"/>
              </w:divBdr>
            </w:div>
            <w:div w:id="1901745869">
              <w:marLeft w:val="0"/>
              <w:marRight w:val="0"/>
              <w:marTop w:val="0"/>
              <w:marBottom w:val="0"/>
              <w:divBdr>
                <w:top w:val="none" w:sz="0" w:space="0" w:color="auto"/>
                <w:left w:val="none" w:sz="0" w:space="0" w:color="auto"/>
                <w:bottom w:val="none" w:sz="0" w:space="0" w:color="auto"/>
                <w:right w:val="none" w:sz="0" w:space="0" w:color="auto"/>
              </w:divBdr>
            </w:div>
            <w:div w:id="1983538193">
              <w:marLeft w:val="0"/>
              <w:marRight w:val="0"/>
              <w:marTop w:val="0"/>
              <w:marBottom w:val="0"/>
              <w:divBdr>
                <w:top w:val="none" w:sz="0" w:space="0" w:color="auto"/>
                <w:left w:val="none" w:sz="0" w:space="0" w:color="auto"/>
                <w:bottom w:val="none" w:sz="0" w:space="0" w:color="auto"/>
                <w:right w:val="none" w:sz="0" w:space="0" w:color="auto"/>
              </w:divBdr>
            </w:div>
            <w:div w:id="2088842424">
              <w:marLeft w:val="0"/>
              <w:marRight w:val="0"/>
              <w:marTop w:val="0"/>
              <w:marBottom w:val="0"/>
              <w:divBdr>
                <w:top w:val="none" w:sz="0" w:space="0" w:color="auto"/>
                <w:left w:val="none" w:sz="0" w:space="0" w:color="auto"/>
                <w:bottom w:val="none" w:sz="0" w:space="0" w:color="auto"/>
                <w:right w:val="none" w:sz="0" w:space="0" w:color="auto"/>
              </w:divBdr>
            </w:div>
            <w:div w:id="2117481955">
              <w:marLeft w:val="0"/>
              <w:marRight w:val="0"/>
              <w:marTop w:val="0"/>
              <w:marBottom w:val="0"/>
              <w:divBdr>
                <w:top w:val="none" w:sz="0" w:space="0" w:color="auto"/>
                <w:left w:val="none" w:sz="0" w:space="0" w:color="auto"/>
                <w:bottom w:val="none" w:sz="0" w:space="0" w:color="auto"/>
                <w:right w:val="none" w:sz="0" w:space="0" w:color="auto"/>
              </w:divBdr>
            </w:div>
            <w:div w:id="2124036689">
              <w:marLeft w:val="0"/>
              <w:marRight w:val="0"/>
              <w:marTop w:val="0"/>
              <w:marBottom w:val="0"/>
              <w:divBdr>
                <w:top w:val="none" w:sz="0" w:space="0" w:color="auto"/>
                <w:left w:val="none" w:sz="0" w:space="0" w:color="auto"/>
                <w:bottom w:val="none" w:sz="0" w:space="0" w:color="auto"/>
                <w:right w:val="none" w:sz="0" w:space="0" w:color="auto"/>
              </w:divBdr>
            </w:div>
          </w:divsChild>
        </w:div>
        <w:div w:id="1835142186">
          <w:marLeft w:val="0"/>
          <w:marRight w:val="0"/>
          <w:marTop w:val="0"/>
          <w:marBottom w:val="0"/>
          <w:divBdr>
            <w:top w:val="none" w:sz="0" w:space="0" w:color="auto"/>
            <w:left w:val="none" w:sz="0" w:space="0" w:color="auto"/>
            <w:bottom w:val="none" w:sz="0" w:space="0" w:color="auto"/>
            <w:right w:val="none" w:sz="0" w:space="0" w:color="auto"/>
          </w:divBdr>
        </w:div>
        <w:div w:id="1948929428">
          <w:marLeft w:val="0"/>
          <w:marRight w:val="0"/>
          <w:marTop w:val="0"/>
          <w:marBottom w:val="0"/>
          <w:divBdr>
            <w:top w:val="none" w:sz="0" w:space="0" w:color="auto"/>
            <w:left w:val="none" w:sz="0" w:space="0" w:color="auto"/>
            <w:bottom w:val="none" w:sz="0" w:space="0" w:color="auto"/>
            <w:right w:val="none" w:sz="0" w:space="0" w:color="auto"/>
          </w:divBdr>
        </w:div>
        <w:div w:id="2144499983">
          <w:marLeft w:val="0"/>
          <w:marRight w:val="0"/>
          <w:marTop w:val="0"/>
          <w:marBottom w:val="0"/>
          <w:divBdr>
            <w:top w:val="none" w:sz="0" w:space="0" w:color="auto"/>
            <w:left w:val="none" w:sz="0" w:space="0" w:color="auto"/>
            <w:bottom w:val="none" w:sz="0" w:space="0" w:color="auto"/>
            <w:right w:val="none" w:sz="0" w:space="0" w:color="auto"/>
          </w:divBdr>
          <w:divsChild>
            <w:div w:id="16640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malkin@oxfor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xford.gov.uk/info/20356/equality_diversity_and_inclusion_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fb703d-c66f-4e11-af73-ec7321244159"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D73A3E7CA0BC43ABBD44929631CAB2" ma:contentTypeVersion="15" ma:contentTypeDescription="Create a new document." ma:contentTypeScope="" ma:versionID="e5ff50b1a408582e8363491a6888c644">
  <xsd:schema xmlns:xsd="http://www.w3.org/2001/XMLSchema" xmlns:xs="http://www.w3.org/2001/XMLSchema" xmlns:p="http://schemas.microsoft.com/office/2006/metadata/properties" xmlns:ns3="7dfb703d-c66f-4e11-af73-ec7321244159" xmlns:ns4="8931870e-3f5a-430d-b2a8-6f4cc460a866" targetNamespace="http://schemas.microsoft.com/office/2006/metadata/properties" ma:root="true" ma:fieldsID="606389b25f5d666dc5bbd445b0987f21" ns3:_="" ns4:_="">
    <xsd:import namespace="7dfb703d-c66f-4e11-af73-ec7321244159"/>
    <xsd:import namespace="8931870e-3f5a-430d-b2a8-6f4cc460a8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703d-c66f-4e11-af73-ec732124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1870e-3f5a-430d-b2a8-6f4cc460a8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6E59-52D3-44B5-BFFA-413C4EAAFF1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931870e-3f5a-430d-b2a8-6f4cc460a866"/>
    <ds:schemaRef ds:uri="7dfb703d-c66f-4e11-af73-ec7321244159"/>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8211FD-B7FD-410B-8512-D3E78AAB5C94}">
  <ds:schemaRefs>
    <ds:schemaRef ds:uri="http://schemas.microsoft.com/sharepoint/v3/contenttype/forms"/>
  </ds:schemaRefs>
</ds:datastoreItem>
</file>

<file path=customXml/itemProps4.xml><?xml version="1.0" encoding="utf-8"?>
<ds:datastoreItem xmlns:ds="http://schemas.openxmlformats.org/officeDocument/2006/customXml" ds:itemID="{99300FB7-5BAA-4EE3-8CE0-7E9DDB6EA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b703d-c66f-4e11-af73-ec7321244159"/>
    <ds:schemaRef ds:uri="8931870e-3f5a-430d-b2a8-6f4cc460a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5297-C6C8-43B4-83AA-146ABB67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3417</Words>
  <Characters>17842</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charvey</dc:creator>
  <cp:keywords/>
  <cp:lastModifiedBy>MALTON Jonathan</cp:lastModifiedBy>
  <cp:revision>77</cp:revision>
  <cp:lastPrinted>2019-09-19T16:49:00Z</cp:lastPrinted>
  <dcterms:created xsi:type="dcterms:W3CDTF">2025-01-10T03:10:00Z</dcterms:created>
  <dcterms:modified xsi:type="dcterms:W3CDTF">2025-01-21T12:58:00Z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y fmtid="{D5CDD505-2E9C-101B-9397-08002B2CF9AE}" pid="3" name="ContentTypeId">
    <vt:lpwstr>0x01010048D73A3E7CA0BC43ABBD44929631CAB2</vt:lpwstr>
  </property>
</Properties>
</file>